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21E5" w14:textId="7A731B38" w:rsidR="008E1EA9" w:rsidRDefault="008E1EA9" w:rsidP="00B1533D">
      <w:pPr>
        <w:pStyle w:val="Title"/>
      </w:pPr>
      <w:bookmarkStart w:id="0" w:name="_Toc239502728"/>
      <w:bookmarkStart w:id="1" w:name="_Toc333477507"/>
      <w:bookmarkStart w:id="2" w:name="_GoBack"/>
      <w:bookmarkEnd w:id="2"/>
    </w:p>
    <w:p w14:paraId="51E4BF47" w14:textId="77777777" w:rsidR="008E1EA9" w:rsidRDefault="008E1EA9" w:rsidP="00B1533D">
      <w:pPr>
        <w:pStyle w:val="Title"/>
      </w:pPr>
    </w:p>
    <w:p w14:paraId="4F8AD504" w14:textId="77777777" w:rsidR="008E1EA9" w:rsidRDefault="008E1EA9" w:rsidP="00B1533D">
      <w:pPr>
        <w:pStyle w:val="Title"/>
      </w:pPr>
    </w:p>
    <w:p w14:paraId="07B2A8E5" w14:textId="3F5557BA" w:rsidR="00E608DB" w:rsidRPr="0072192A" w:rsidRDefault="006C38C7" w:rsidP="00B1533D">
      <w:pPr>
        <w:pStyle w:val="Title"/>
        <w:rPr>
          <w:rFonts w:asciiTheme="minorHAnsi" w:hAnsiTheme="minorHAnsi" w:cstheme="minorHAnsi"/>
          <w:sz w:val="22"/>
          <w:szCs w:val="22"/>
        </w:rPr>
      </w:pPr>
      <w:r>
        <w:t>Clovis Community</w:t>
      </w:r>
      <w:r w:rsidR="00B101E7">
        <w:t xml:space="preserve"> College</w:t>
      </w:r>
      <w:r w:rsidR="00194B66">
        <w:br/>
      </w:r>
    </w:p>
    <w:p w14:paraId="6F3E684C" w14:textId="6A26BFAC" w:rsidR="00CF52D1" w:rsidRDefault="0034607C" w:rsidP="00B1533D">
      <w:pPr>
        <w:pStyle w:val="Subtitle"/>
      </w:pPr>
      <w:r>
        <w:t>Economic Overview</w:t>
      </w:r>
      <w:r w:rsidR="00C513A0">
        <w:t xml:space="preserve"> and </w:t>
      </w:r>
      <w:r w:rsidR="000D2D45">
        <w:t xml:space="preserve">Program </w:t>
      </w:r>
      <w:r w:rsidR="004A479F">
        <w:t>Gap Analysis</w:t>
      </w:r>
    </w:p>
    <w:p w14:paraId="2F1921B8" w14:textId="77777777" w:rsidR="00CF52D1" w:rsidRDefault="00CF52D1" w:rsidP="00B1533D"/>
    <w:p w14:paraId="722F4CAF" w14:textId="77777777" w:rsidR="00CF52D1" w:rsidRDefault="00CF52D1" w:rsidP="00B1533D"/>
    <w:p w14:paraId="1B9DC24C" w14:textId="77777777" w:rsidR="00CF52D1" w:rsidRDefault="00CF52D1" w:rsidP="00B1533D"/>
    <w:p w14:paraId="2AC9267E" w14:textId="4ED6562C" w:rsidR="00C633D6" w:rsidRDefault="006C38C7" w:rsidP="00B1533D">
      <w:pPr>
        <w:pStyle w:val="Subtitle"/>
      </w:pPr>
      <w:r>
        <w:t>June</w:t>
      </w:r>
      <w:r w:rsidR="005E26B1">
        <w:t xml:space="preserve"> 201</w:t>
      </w:r>
      <w:r>
        <w:t>7</w:t>
      </w:r>
    </w:p>
    <w:p w14:paraId="6A232DC1" w14:textId="77777777" w:rsidR="0071465E" w:rsidRPr="0071465E" w:rsidRDefault="0071465E" w:rsidP="0071465E"/>
    <w:p w14:paraId="15987BDC" w14:textId="70BAE7CD" w:rsidR="00E608DB" w:rsidRPr="0072192A" w:rsidRDefault="00E608DB" w:rsidP="00E608DB">
      <w:pPr>
        <w:rPr>
          <w:rFonts w:asciiTheme="minorHAnsi" w:hAnsiTheme="minorHAnsi" w:cstheme="minorHAnsi"/>
          <w:b/>
          <w:color w:val="000000"/>
          <w:sz w:val="22"/>
          <w:szCs w:val="22"/>
        </w:rPr>
      </w:pPr>
    </w:p>
    <w:p w14:paraId="51123347" w14:textId="77777777" w:rsidR="00E608DB" w:rsidRPr="0072192A" w:rsidRDefault="00E608DB" w:rsidP="00E608DB">
      <w:pPr>
        <w:spacing w:after="0" w:line="240" w:lineRule="auto"/>
        <w:rPr>
          <w:rFonts w:asciiTheme="minorHAnsi" w:hAnsiTheme="minorHAnsi" w:cstheme="minorHAnsi"/>
          <w:b/>
          <w:color w:val="000000"/>
          <w:sz w:val="22"/>
          <w:szCs w:val="22"/>
        </w:rPr>
      </w:pPr>
    </w:p>
    <w:p w14:paraId="34D0806C" w14:textId="77777777" w:rsidR="0099188B" w:rsidRDefault="0099188B" w:rsidP="00E608DB">
      <w:pPr>
        <w:spacing w:after="0" w:line="240" w:lineRule="auto"/>
        <w:rPr>
          <w:rFonts w:asciiTheme="minorHAnsi" w:hAnsiTheme="minorHAnsi" w:cstheme="minorHAnsi"/>
          <w:b/>
          <w:color w:val="000000"/>
          <w:sz w:val="22"/>
          <w:szCs w:val="22"/>
        </w:rPr>
      </w:pPr>
    </w:p>
    <w:p w14:paraId="3DDB845A" w14:textId="77777777" w:rsidR="0099188B" w:rsidRDefault="0099188B" w:rsidP="00E608DB">
      <w:pPr>
        <w:spacing w:after="0" w:line="240" w:lineRule="auto"/>
        <w:rPr>
          <w:rFonts w:asciiTheme="minorHAnsi" w:hAnsiTheme="minorHAnsi" w:cstheme="minorHAnsi"/>
          <w:b/>
          <w:color w:val="000000"/>
          <w:sz w:val="22"/>
          <w:szCs w:val="22"/>
        </w:rPr>
      </w:pPr>
    </w:p>
    <w:p w14:paraId="40C49134" w14:textId="2CD37262" w:rsidR="008E1EA9" w:rsidRDefault="00E608DB" w:rsidP="00E608DB">
      <w:pPr>
        <w:spacing w:after="0" w:line="240" w:lineRule="auto"/>
        <w:rPr>
          <w:rFonts w:asciiTheme="minorHAnsi" w:hAnsiTheme="minorHAnsi" w:cstheme="minorHAnsi"/>
          <w:b/>
          <w:color w:val="000000"/>
          <w:sz w:val="22"/>
          <w:szCs w:val="22"/>
        </w:rPr>
      </w:pPr>
      <w:r w:rsidRPr="0072192A">
        <w:rPr>
          <w:rFonts w:asciiTheme="minorHAnsi" w:hAnsiTheme="minorHAnsi" w:cstheme="minorHAnsi"/>
          <w:b/>
          <w:noProof/>
          <w:color w:val="000000"/>
          <w:sz w:val="22"/>
          <w:szCs w:val="22"/>
        </w:rPr>
        <w:drawing>
          <wp:anchor distT="0" distB="0" distL="114300" distR="114300" simplePos="0" relativeHeight="251660288" behindDoc="0" locked="0" layoutInCell="1" allowOverlap="1" wp14:anchorId="1DFDE04D" wp14:editId="2F92AF48">
            <wp:simplePos x="0" y="0"/>
            <wp:positionH relativeFrom="column">
              <wp:posOffset>1257300</wp:posOffset>
            </wp:positionH>
            <wp:positionV relativeFrom="paragraph">
              <wp:posOffset>8220710</wp:posOffset>
            </wp:positionV>
            <wp:extent cx="1083310" cy="460375"/>
            <wp:effectExtent l="0" t="0" r="2540" b="0"/>
            <wp:wrapNone/>
            <wp:docPr id="2" name="Picture 2" descr="emsi-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si-logo-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1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CE814" w14:textId="77777777" w:rsidR="00E608DB" w:rsidRDefault="00E608DB" w:rsidP="00E608DB">
      <w:pPr>
        <w:spacing w:after="0" w:line="240" w:lineRule="auto"/>
        <w:rPr>
          <w:rFonts w:asciiTheme="minorHAnsi" w:hAnsiTheme="minorHAnsi" w:cstheme="minorHAnsi"/>
          <w:b/>
          <w:color w:val="000000"/>
          <w:sz w:val="22"/>
          <w:szCs w:val="22"/>
        </w:rPr>
      </w:pPr>
    </w:p>
    <w:p w14:paraId="020639D9" w14:textId="77777777" w:rsidR="00F470A4" w:rsidRDefault="00F470A4" w:rsidP="00E608DB">
      <w:pPr>
        <w:spacing w:after="0" w:line="240" w:lineRule="auto"/>
        <w:rPr>
          <w:rFonts w:asciiTheme="minorHAnsi" w:hAnsiTheme="minorHAnsi" w:cstheme="minorHAnsi"/>
          <w:b/>
          <w:color w:val="000000"/>
          <w:sz w:val="22"/>
          <w:szCs w:val="22"/>
        </w:rPr>
      </w:pPr>
    </w:p>
    <w:p w14:paraId="6404E172" w14:textId="77777777" w:rsidR="00F470A4" w:rsidRDefault="00F470A4" w:rsidP="00E608DB">
      <w:pPr>
        <w:spacing w:after="0" w:line="240" w:lineRule="auto"/>
        <w:rPr>
          <w:rFonts w:asciiTheme="minorHAnsi" w:hAnsiTheme="minorHAnsi" w:cstheme="minorHAnsi"/>
          <w:b/>
          <w:color w:val="000000"/>
          <w:sz w:val="22"/>
          <w:szCs w:val="22"/>
        </w:rPr>
      </w:pPr>
    </w:p>
    <w:p w14:paraId="50035853" w14:textId="77777777" w:rsidR="008E1EA9" w:rsidRPr="00861462" w:rsidRDefault="008E1EA9" w:rsidP="00E608DB">
      <w:pPr>
        <w:spacing w:after="0" w:line="240" w:lineRule="auto"/>
        <w:rPr>
          <w:rFonts w:asciiTheme="minorHAnsi" w:hAnsiTheme="minorHAnsi" w:cstheme="minorHAnsi"/>
          <w:b/>
          <w:color w:val="000000"/>
          <w:sz w:val="22"/>
          <w:szCs w:val="22"/>
        </w:rPr>
      </w:pPr>
    </w:p>
    <w:p w14:paraId="52F093F8" w14:textId="77777777" w:rsidR="00375F34" w:rsidRPr="00194B66" w:rsidRDefault="00375F34" w:rsidP="00E608DB">
      <w:pPr>
        <w:spacing w:after="0" w:line="240" w:lineRule="auto"/>
        <w:rPr>
          <w:rFonts w:asciiTheme="minorHAnsi" w:hAnsiTheme="minorHAnsi" w:cstheme="minorHAnsi"/>
          <w:b/>
          <w:color w:val="000000"/>
          <w:sz w:val="22"/>
          <w:szCs w:val="22"/>
        </w:rPr>
      </w:pPr>
    </w:p>
    <w:p w14:paraId="439B2BC8" w14:textId="79DDF5E0" w:rsidR="00E608DB" w:rsidRPr="00194B66" w:rsidRDefault="00E608DB" w:rsidP="00E608DB">
      <w:pPr>
        <w:spacing w:after="0" w:line="240" w:lineRule="auto"/>
        <w:rPr>
          <w:rFonts w:asciiTheme="minorHAnsi" w:hAnsiTheme="minorHAnsi" w:cstheme="minorHAnsi"/>
          <w:sz w:val="22"/>
          <w:szCs w:val="22"/>
        </w:rPr>
      </w:pPr>
    </w:p>
    <w:p w14:paraId="32EB6386" w14:textId="5EB50371" w:rsidR="00E608DB" w:rsidRPr="00370DFA" w:rsidRDefault="00375F34">
      <w:pPr>
        <w:spacing w:before="0" w:after="200" w:line="276" w:lineRule="auto"/>
        <w:rPr>
          <w:rFonts w:asciiTheme="minorHAnsi" w:hAnsiTheme="minorHAnsi" w:cstheme="minorHAnsi"/>
          <w:sz w:val="22"/>
          <w:szCs w:val="22"/>
        </w:rPr>
      </w:pPr>
      <w:r w:rsidRPr="00CF52D1">
        <w:rPr>
          <w:noProof/>
        </w:rPr>
        <mc:AlternateContent>
          <mc:Choice Requires="wps">
            <w:drawing>
              <wp:anchor distT="0" distB="0" distL="114300" distR="114300" simplePos="0" relativeHeight="251662336" behindDoc="0" locked="0" layoutInCell="1" allowOverlap="1" wp14:anchorId="48FFA877" wp14:editId="521513B8">
                <wp:simplePos x="0" y="0"/>
                <wp:positionH relativeFrom="column">
                  <wp:posOffset>1156970</wp:posOffset>
                </wp:positionH>
                <wp:positionV relativeFrom="paragraph">
                  <wp:posOffset>43180</wp:posOffset>
                </wp:positionV>
                <wp:extent cx="4521835" cy="725805"/>
                <wp:effectExtent l="0" t="0" r="0"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BAF1" w14:textId="2207D24B" w:rsidR="002C5EAD" w:rsidRPr="00417BA4" w:rsidRDefault="002C5EAD" w:rsidP="00375F34">
                            <w:pPr>
                              <w:spacing w:before="0" w:after="0" w:line="360" w:lineRule="auto"/>
                              <w:rPr>
                                <w:rFonts w:ascii="Myriad Pro" w:hAnsi="Myriad Pro" w:cs="Arial"/>
                                <w:sz w:val="18"/>
                              </w:rPr>
                            </w:pPr>
                            <w:r w:rsidRPr="00417BA4">
                              <w:rPr>
                                <w:rFonts w:ascii="Myriad Pro" w:hAnsi="Myriad Pro" w:cs="Arial"/>
                                <w:sz w:val="18"/>
                              </w:rPr>
                              <w:t>E</w:t>
                            </w:r>
                            <w:r>
                              <w:rPr>
                                <w:rFonts w:ascii="Myriad Pro" w:hAnsi="Myriad Pro" w:cs="Arial"/>
                                <w:sz w:val="18"/>
                              </w:rPr>
                              <w:t>CO</w:t>
                            </w:r>
                            <w:r w:rsidRPr="00417BA4">
                              <w:rPr>
                                <w:rFonts w:ascii="Myriad Pro" w:hAnsi="Myriad Pro" w:cs="Arial"/>
                                <w:sz w:val="18"/>
                              </w:rPr>
                              <w:t>NOMIC M</w:t>
                            </w:r>
                            <w:r>
                              <w:rPr>
                                <w:rFonts w:ascii="Myriad Pro" w:hAnsi="Myriad Pro" w:cs="Arial"/>
                                <w:sz w:val="18"/>
                              </w:rPr>
                              <w:t>ODELING SPECIALISTS INTL. | 409</w:t>
                            </w:r>
                            <w:r w:rsidRPr="00417BA4">
                              <w:rPr>
                                <w:rFonts w:ascii="Myriad Pro" w:hAnsi="Myriad Pro" w:cs="Arial"/>
                                <w:sz w:val="18"/>
                              </w:rPr>
                              <w:t xml:space="preserve"> </w:t>
                            </w:r>
                            <w:r>
                              <w:rPr>
                                <w:rFonts w:ascii="Myriad Pro" w:hAnsi="Myriad Pro" w:cs="Arial"/>
                                <w:sz w:val="18"/>
                              </w:rPr>
                              <w:t>SOUTH JACKSON ST</w:t>
                            </w:r>
                            <w:r w:rsidRPr="00417BA4">
                              <w:rPr>
                                <w:rFonts w:ascii="Myriad Pro" w:hAnsi="Myriad Pro" w:cs="Arial"/>
                                <w:sz w:val="18"/>
                              </w:rPr>
                              <w:t>, MOS</w:t>
                            </w:r>
                            <w:r>
                              <w:rPr>
                                <w:rFonts w:ascii="Myriad Pro" w:hAnsi="Myriad Pro" w:cs="Arial"/>
                                <w:sz w:val="18"/>
                              </w:rPr>
                              <w:t>CO</w:t>
                            </w:r>
                            <w:r w:rsidRPr="00417BA4">
                              <w:rPr>
                                <w:rFonts w:ascii="Myriad Pro" w:hAnsi="Myriad Pro" w:cs="Arial"/>
                                <w:sz w:val="18"/>
                              </w:rPr>
                              <w:t>W, ID 83843</w:t>
                            </w:r>
                          </w:p>
                          <w:p w14:paraId="746EA8B5" w14:textId="57A6FFFF" w:rsidR="002C5EAD" w:rsidRPr="00417BA4" w:rsidRDefault="002C5EAD" w:rsidP="00375F34">
                            <w:pPr>
                              <w:spacing w:before="0" w:after="0" w:line="360" w:lineRule="auto"/>
                              <w:rPr>
                                <w:rFonts w:ascii="Myriad Pro" w:hAnsi="Myriad Pro" w:cs="Arial"/>
                                <w:sz w:val="20"/>
                              </w:rPr>
                            </w:pPr>
                            <w:r w:rsidRPr="00417BA4">
                              <w:rPr>
                                <w:rFonts w:ascii="Myriad Pro" w:hAnsi="Myriad Pro" w:cs="Arial"/>
                                <w:sz w:val="18"/>
                              </w:rPr>
                              <w:t xml:space="preserve">TEL: </w:t>
                            </w:r>
                            <w:r>
                              <w:rPr>
                                <w:rFonts w:ascii="Myriad Pro" w:hAnsi="Myriad Pro" w:cs="Arial"/>
                                <w:sz w:val="18"/>
                              </w:rPr>
                              <w:t>(</w:t>
                            </w:r>
                            <w:r w:rsidRPr="00417BA4">
                              <w:rPr>
                                <w:rFonts w:ascii="Myriad Pro" w:hAnsi="Myriad Pro" w:cs="Arial"/>
                                <w:sz w:val="18"/>
                              </w:rPr>
                              <w:t>208</w:t>
                            </w:r>
                            <w:r>
                              <w:rPr>
                                <w:rFonts w:ascii="Myriad Pro" w:hAnsi="Myriad Pro" w:cs="Arial"/>
                                <w:sz w:val="18"/>
                              </w:rPr>
                              <w:t xml:space="preserve">) </w:t>
                            </w:r>
                            <w:r w:rsidRPr="00417BA4">
                              <w:rPr>
                                <w:rFonts w:ascii="Myriad Pro" w:hAnsi="Myriad Pro" w:cs="Arial"/>
                                <w:sz w:val="18"/>
                              </w:rPr>
                              <w:t>883</w:t>
                            </w:r>
                            <w:r>
                              <w:rPr>
                                <w:rFonts w:ascii="Myriad Pro" w:hAnsi="Myriad Pro" w:cs="Arial"/>
                                <w:sz w:val="18"/>
                              </w:rPr>
                              <w:t>-</w:t>
                            </w:r>
                            <w:r w:rsidRPr="00417BA4">
                              <w:rPr>
                                <w:rFonts w:ascii="Myriad Pro" w:hAnsi="Myriad Pro" w:cs="Arial"/>
                                <w:sz w:val="18"/>
                              </w:rPr>
                              <w:t xml:space="preserve">3500 | FAX: </w:t>
                            </w:r>
                            <w:r>
                              <w:rPr>
                                <w:rFonts w:ascii="Myriad Pro" w:hAnsi="Myriad Pro" w:cs="Arial"/>
                                <w:sz w:val="18"/>
                              </w:rPr>
                              <w:t>(</w:t>
                            </w:r>
                            <w:r w:rsidRPr="00417BA4">
                              <w:rPr>
                                <w:rFonts w:ascii="Myriad Pro" w:hAnsi="Myriad Pro" w:cs="Arial"/>
                                <w:sz w:val="18"/>
                              </w:rPr>
                              <w:t>20</w:t>
                            </w:r>
                            <w:r>
                              <w:rPr>
                                <w:rFonts w:ascii="Myriad Pro" w:hAnsi="Myriad Pro" w:cs="Arial"/>
                                <w:sz w:val="18"/>
                              </w:rPr>
                              <w:t xml:space="preserve">8) </w:t>
                            </w:r>
                            <w:r w:rsidRPr="00417BA4">
                              <w:rPr>
                                <w:rFonts w:ascii="Myriad Pro" w:hAnsi="Myriad Pro" w:cs="Arial"/>
                                <w:sz w:val="18"/>
                              </w:rPr>
                              <w:t>882</w:t>
                            </w:r>
                            <w:r>
                              <w:rPr>
                                <w:rFonts w:ascii="Myriad Pro" w:hAnsi="Myriad Pro" w:cs="Arial"/>
                                <w:sz w:val="18"/>
                              </w:rPr>
                              <w:t>-</w:t>
                            </w:r>
                            <w:r w:rsidRPr="00417BA4">
                              <w:rPr>
                                <w:rFonts w:ascii="Myriad Pro" w:hAnsi="Myriad Pro" w:cs="Arial"/>
                                <w:sz w:val="18"/>
                              </w:rPr>
                              <w:t>3317 | WWW.E</w:t>
                            </w:r>
                            <w:r>
                              <w:rPr>
                                <w:rFonts w:ascii="Myriad Pro" w:hAnsi="Myriad Pro" w:cs="Arial"/>
                                <w:sz w:val="18"/>
                              </w:rPr>
                              <w:t>CO</w:t>
                            </w:r>
                            <w:r w:rsidRPr="00417BA4">
                              <w:rPr>
                                <w:rFonts w:ascii="Myriad Pro" w:hAnsi="Myriad Pro" w:cs="Arial"/>
                                <w:sz w:val="18"/>
                              </w:rPr>
                              <w:t>NOMICMODELING.</w:t>
                            </w:r>
                            <w:r>
                              <w:rPr>
                                <w:rFonts w:ascii="Myriad Pro" w:hAnsi="Myriad Pro" w:cs="Arial"/>
                                <w:sz w:val="18"/>
                              </w:rPr>
                              <w:t>CO</w:t>
                            </w:r>
                            <w:r w:rsidRPr="00417BA4">
                              <w:rPr>
                                <w:rFonts w:ascii="Myriad Pro" w:hAnsi="Myriad Pro" w:cs="Arial"/>
                                <w:sz w:val="18"/>
                              </w:rPr>
                              <w:t>M</w:t>
                            </w:r>
                          </w:p>
                          <w:p w14:paraId="544B1CF1" w14:textId="77777777" w:rsidR="002C5EAD" w:rsidRPr="00417BA4" w:rsidRDefault="002C5EAD" w:rsidP="00375F34">
                            <w:pPr>
                              <w:spacing w:line="360" w:lineRule="auto"/>
                              <w:rPr>
                                <w:rFonts w:ascii="Myriad Pro" w:hAnsi="Myriad Pro"/>
                              </w:rPr>
                            </w:pPr>
                          </w:p>
                          <w:p w14:paraId="60A226AF" w14:textId="77777777" w:rsidR="002C5EAD" w:rsidRDefault="002C5EAD" w:rsidP="00375F34"/>
                          <w:p w14:paraId="47B2FF4F" w14:textId="73AF36B7" w:rsidR="002C5EAD" w:rsidRPr="00417BA4" w:rsidRDefault="002C5EAD" w:rsidP="00375F34">
                            <w:r w:rsidRPr="00417BA4">
                              <w:t>E</w:t>
                            </w:r>
                            <w:r>
                              <w:t>NC</w:t>
                            </w:r>
                            <w:r w:rsidRPr="00417BA4">
                              <w:t>NOMIC MODELING SPECIALISTS INTL. | 1187 ALTURAS DRIVE, MOS</w:t>
                            </w:r>
                            <w:r>
                              <w:t>NC</w:t>
                            </w:r>
                            <w:r w:rsidRPr="00417BA4">
                              <w:t>W, IDAHO 83843</w:t>
                            </w:r>
                          </w:p>
                          <w:p w14:paraId="38F95D94" w14:textId="67B0450B" w:rsidR="002C5EAD" w:rsidRPr="00417BA4" w:rsidRDefault="002C5EAD" w:rsidP="00375F34">
                            <w:pPr>
                              <w:rPr>
                                <w:sz w:val="20"/>
                              </w:rPr>
                            </w:pPr>
                            <w:r w:rsidRPr="00417BA4">
                              <w:t>TEL: 208.883.3500 | FAX: 208.882.3317 | WWW.E</w:t>
                            </w:r>
                            <w:r>
                              <w:t>NC</w:t>
                            </w:r>
                            <w:r w:rsidRPr="00417BA4">
                              <w:t>NOMICMODELING.</w:t>
                            </w:r>
                            <w:r>
                              <w:t>NC</w:t>
                            </w:r>
                            <w:r w:rsidRPr="00417BA4">
                              <w:t>M</w:t>
                            </w:r>
                          </w:p>
                          <w:p w14:paraId="5187D579" w14:textId="77777777" w:rsidR="002C5EAD" w:rsidRPr="00417BA4" w:rsidRDefault="002C5EAD" w:rsidP="00375F34"/>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8FFA877" id="_x0000_t202" coordsize="21600,21600" o:spt="202" path="m,l,21600r21600,l21600,xe">
                <v:stroke joinstyle="miter"/>
                <v:path gradientshapeok="t" o:connecttype="rect"/>
              </v:shapetype>
              <v:shape id="Text Box 2" o:spid="_x0000_s1026" type="#_x0000_t202" style="position:absolute;left:0;text-align:left;margin-left:91.1pt;margin-top:3.4pt;width:356.05pt;height:57.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41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" filled="f" stroked="f">
                <v:textbox>
                  <w:txbxContent>
                    <w:p w14:paraId="60F6BAF1" w14:textId="2207D24B" w:rsidR="002C5EAD" w:rsidRPr="00417BA4" w:rsidRDefault="002C5EAD" w:rsidP="00375F34">
                      <w:pPr>
                        <w:spacing w:before="0" w:after="0" w:line="360" w:lineRule="auto"/>
                        <w:rPr>
                          <w:rFonts w:ascii="Myriad Pro" w:hAnsi="Myriad Pro" w:cs="Arial"/>
                          <w:sz w:val="18"/>
                        </w:rPr>
                      </w:pPr>
                      <w:r w:rsidRPr="00417BA4">
                        <w:rPr>
                          <w:rFonts w:ascii="Myriad Pro" w:hAnsi="Myriad Pro" w:cs="Arial"/>
                          <w:sz w:val="18"/>
                        </w:rPr>
                        <w:t>E</w:t>
                      </w:r>
                      <w:r>
                        <w:rPr>
                          <w:rFonts w:ascii="Myriad Pro" w:hAnsi="Myriad Pro" w:cs="Arial"/>
                          <w:sz w:val="18"/>
                        </w:rPr>
                        <w:t>CO</w:t>
                      </w:r>
                      <w:r w:rsidRPr="00417BA4">
                        <w:rPr>
                          <w:rFonts w:ascii="Myriad Pro" w:hAnsi="Myriad Pro" w:cs="Arial"/>
                          <w:sz w:val="18"/>
                        </w:rPr>
                        <w:t>NOMIC M</w:t>
                      </w:r>
                      <w:r>
                        <w:rPr>
                          <w:rFonts w:ascii="Myriad Pro" w:hAnsi="Myriad Pro" w:cs="Arial"/>
                          <w:sz w:val="18"/>
                        </w:rPr>
                        <w:t>ODELING SPECIALISTS INTL. | 409</w:t>
                      </w:r>
                      <w:r w:rsidRPr="00417BA4">
                        <w:rPr>
                          <w:rFonts w:ascii="Myriad Pro" w:hAnsi="Myriad Pro" w:cs="Arial"/>
                          <w:sz w:val="18"/>
                        </w:rPr>
                        <w:t xml:space="preserve"> </w:t>
                      </w:r>
                      <w:r>
                        <w:rPr>
                          <w:rFonts w:ascii="Myriad Pro" w:hAnsi="Myriad Pro" w:cs="Arial"/>
                          <w:sz w:val="18"/>
                        </w:rPr>
                        <w:t>SOUTH JACKSON ST</w:t>
                      </w:r>
                      <w:r w:rsidRPr="00417BA4">
                        <w:rPr>
                          <w:rFonts w:ascii="Myriad Pro" w:hAnsi="Myriad Pro" w:cs="Arial"/>
                          <w:sz w:val="18"/>
                        </w:rPr>
                        <w:t>, MOS</w:t>
                      </w:r>
                      <w:r>
                        <w:rPr>
                          <w:rFonts w:ascii="Myriad Pro" w:hAnsi="Myriad Pro" w:cs="Arial"/>
                          <w:sz w:val="18"/>
                        </w:rPr>
                        <w:t>CO</w:t>
                      </w:r>
                      <w:r w:rsidRPr="00417BA4">
                        <w:rPr>
                          <w:rFonts w:ascii="Myriad Pro" w:hAnsi="Myriad Pro" w:cs="Arial"/>
                          <w:sz w:val="18"/>
                        </w:rPr>
                        <w:t>W, ID 83843</w:t>
                      </w:r>
                    </w:p>
                    <w:p w14:paraId="746EA8B5" w14:textId="57A6FFFF" w:rsidR="002C5EAD" w:rsidRPr="00417BA4" w:rsidRDefault="002C5EAD" w:rsidP="00375F34">
                      <w:pPr>
                        <w:spacing w:before="0" w:after="0" w:line="360" w:lineRule="auto"/>
                        <w:rPr>
                          <w:rFonts w:ascii="Myriad Pro" w:hAnsi="Myriad Pro" w:cs="Arial"/>
                          <w:sz w:val="20"/>
                        </w:rPr>
                      </w:pPr>
                      <w:r w:rsidRPr="00417BA4">
                        <w:rPr>
                          <w:rFonts w:ascii="Myriad Pro" w:hAnsi="Myriad Pro" w:cs="Arial"/>
                          <w:sz w:val="18"/>
                        </w:rPr>
                        <w:t xml:space="preserve">TEL: </w:t>
                      </w:r>
                      <w:r>
                        <w:rPr>
                          <w:rFonts w:ascii="Myriad Pro" w:hAnsi="Myriad Pro" w:cs="Arial"/>
                          <w:sz w:val="18"/>
                        </w:rPr>
                        <w:t>(</w:t>
                      </w:r>
                      <w:r w:rsidRPr="00417BA4">
                        <w:rPr>
                          <w:rFonts w:ascii="Myriad Pro" w:hAnsi="Myriad Pro" w:cs="Arial"/>
                          <w:sz w:val="18"/>
                        </w:rPr>
                        <w:t>208</w:t>
                      </w:r>
                      <w:r>
                        <w:rPr>
                          <w:rFonts w:ascii="Myriad Pro" w:hAnsi="Myriad Pro" w:cs="Arial"/>
                          <w:sz w:val="18"/>
                        </w:rPr>
                        <w:t xml:space="preserve">) </w:t>
                      </w:r>
                      <w:r w:rsidRPr="00417BA4">
                        <w:rPr>
                          <w:rFonts w:ascii="Myriad Pro" w:hAnsi="Myriad Pro" w:cs="Arial"/>
                          <w:sz w:val="18"/>
                        </w:rPr>
                        <w:t>883</w:t>
                      </w:r>
                      <w:r>
                        <w:rPr>
                          <w:rFonts w:ascii="Myriad Pro" w:hAnsi="Myriad Pro" w:cs="Arial"/>
                          <w:sz w:val="18"/>
                        </w:rPr>
                        <w:t>-</w:t>
                      </w:r>
                      <w:r w:rsidRPr="00417BA4">
                        <w:rPr>
                          <w:rFonts w:ascii="Myriad Pro" w:hAnsi="Myriad Pro" w:cs="Arial"/>
                          <w:sz w:val="18"/>
                        </w:rPr>
                        <w:t xml:space="preserve">3500 | FAX: </w:t>
                      </w:r>
                      <w:r>
                        <w:rPr>
                          <w:rFonts w:ascii="Myriad Pro" w:hAnsi="Myriad Pro" w:cs="Arial"/>
                          <w:sz w:val="18"/>
                        </w:rPr>
                        <w:t>(</w:t>
                      </w:r>
                      <w:r w:rsidRPr="00417BA4">
                        <w:rPr>
                          <w:rFonts w:ascii="Myriad Pro" w:hAnsi="Myriad Pro" w:cs="Arial"/>
                          <w:sz w:val="18"/>
                        </w:rPr>
                        <w:t>20</w:t>
                      </w:r>
                      <w:r>
                        <w:rPr>
                          <w:rFonts w:ascii="Myriad Pro" w:hAnsi="Myriad Pro" w:cs="Arial"/>
                          <w:sz w:val="18"/>
                        </w:rPr>
                        <w:t xml:space="preserve">8) </w:t>
                      </w:r>
                      <w:r w:rsidRPr="00417BA4">
                        <w:rPr>
                          <w:rFonts w:ascii="Myriad Pro" w:hAnsi="Myriad Pro" w:cs="Arial"/>
                          <w:sz w:val="18"/>
                        </w:rPr>
                        <w:t>882</w:t>
                      </w:r>
                      <w:r>
                        <w:rPr>
                          <w:rFonts w:ascii="Myriad Pro" w:hAnsi="Myriad Pro" w:cs="Arial"/>
                          <w:sz w:val="18"/>
                        </w:rPr>
                        <w:t>-</w:t>
                      </w:r>
                      <w:r w:rsidRPr="00417BA4">
                        <w:rPr>
                          <w:rFonts w:ascii="Myriad Pro" w:hAnsi="Myriad Pro" w:cs="Arial"/>
                          <w:sz w:val="18"/>
                        </w:rPr>
                        <w:t>3317 | WWW.E</w:t>
                      </w:r>
                      <w:r>
                        <w:rPr>
                          <w:rFonts w:ascii="Myriad Pro" w:hAnsi="Myriad Pro" w:cs="Arial"/>
                          <w:sz w:val="18"/>
                        </w:rPr>
                        <w:t>CO</w:t>
                      </w:r>
                      <w:r w:rsidRPr="00417BA4">
                        <w:rPr>
                          <w:rFonts w:ascii="Myriad Pro" w:hAnsi="Myriad Pro" w:cs="Arial"/>
                          <w:sz w:val="18"/>
                        </w:rPr>
                        <w:t>NOMICMODELING.</w:t>
                      </w:r>
                      <w:r>
                        <w:rPr>
                          <w:rFonts w:ascii="Myriad Pro" w:hAnsi="Myriad Pro" w:cs="Arial"/>
                          <w:sz w:val="18"/>
                        </w:rPr>
                        <w:t>CO</w:t>
                      </w:r>
                      <w:r w:rsidRPr="00417BA4">
                        <w:rPr>
                          <w:rFonts w:ascii="Myriad Pro" w:hAnsi="Myriad Pro" w:cs="Arial"/>
                          <w:sz w:val="18"/>
                        </w:rPr>
                        <w:t>M</w:t>
                      </w:r>
                    </w:p>
                    <w:p w14:paraId="544B1CF1" w14:textId="77777777" w:rsidR="002C5EAD" w:rsidRPr="00417BA4" w:rsidRDefault="002C5EAD" w:rsidP="00375F34">
                      <w:pPr>
                        <w:spacing w:line="360" w:lineRule="auto"/>
                        <w:rPr>
                          <w:rFonts w:ascii="Myriad Pro" w:hAnsi="Myriad Pro"/>
                        </w:rPr>
                      </w:pPr>
                    </w:p>
                    <w:p w14:paraId="60A226AF" w14:textId="77777777" w:rsidR="002C5EAD" w:rsidRDefault="002C5EAD" w:rsidP="00375F34"/>
                    <w:p w14:paraId="47B2FF4F" w14:textId="73AF36B7" w:rsidR="002C5EAD" w:rsidRPr="00417BA4" w:rsidRDefault="002C5EAD" w:rsidP="00375F34">
                      <w:r w:rsidRPr="00417BA4">
                        <w:t>E</w:t>
                      </w:r>
                      <w:r>
                        <w:t>NC</w:t>
                      </w:r>
                      <w:r w:rsidRPr="00417BA4">
                        <w:t>NOMIC MODELING SPECIALISTS INTL. | 1187 ALTURAS DRIVE, MOS</w:t>
                      </w:r>
                      <w:r>
                        <w:t>NC</w:t>
                      </w:r>
                      <w:r w:rsidRPr="00417BA4">
                        <w:t>W, IDAHO 83843</w:t>
                      </w:r>
                    </w:p>
                    <w:p w14:paraId="38F95D94" w14:textId="67B0450B" w:rsidR="002C5EAD" w:rsidRPr="00417BA4" w:rsidRDefault="002C5EAD" w:rsidP="00375F34">
                      <w:pPr>
                        <w:rPr>
                          <w:sz w:val="20"/>
                        </w:rPr>
                      </w:pPr>
                      <w:r w:rsidRPr="00417BA4">
                        <w:t>TEL: 208.883.3500 | FAX: 208.882.3317 | WWW.E</w:t>
                      </w:r>
                      <w:r>
                        <w:t>NC</w:t>
                      </w:r>
                      <w:r w:rsidRPr="00417BA4">
                        <w:t>NOMICMODELING.</w:t>
                      </w:r>
                      <w:r>
                        <w:t>NC</w:t>
                      </w:r>
                      <w:r w:rsidRPr="00417BA4">
                        <w:t>M</w:t>
                      </w:r>
                    </w:p>
                    <w:p w14:paraId="5187D579" w14:textId="77777777" w:rsidR="002C5EAD" w:rsidRPr="00417BA4" w:rsidRDefault="002C5EAD" w:rsidP="00375F34"/>
                  </w:txbxContent>
                </v:textbox>
              </v:shape>
            </w:pict>
          </mc:Fallback>
        </mc:AlternateContent>
      </w:r>
      <w:r w:rsidRPr="00B1533D">
        <w:rPr>
          <w:rFonts w:asciiTheme="minorHAnsi" w:hAnsiTheme="minorHAnsi" w:cstheme="minorHAnsi"/>
          <w:noProof/>
          <w:sz w:val="22"/>
          <w:szCs w:val="22"/>
        </w:rPr>
        <w:drawing>
          <wp:inline distT="0" distB="0" distL="0" distR="0" wp14:anchorId="24A87CEA" wp14:editId="6ECCF396">
            <wp:extent cx="1095375" cy="466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pic:spPr>
                </pic:pic>
              </a:graphicData>
            </a:graphic>
          </wp:inline>
        </w:drawing>
      </w:r>
      <w:r w:rsidR="00E608DB" w:rsidRPr="00370DFA">
        <w:rPr>
          <w:rFonts w:asciiTheme="minorHAnsi" w:hAnsiTheme="minorHAnsi" w:cstheme="minorHAnsi"/>
          <w:sz w:val="22"/>
          <w:szCs w:val="22"/>
        </w:rPr>
        <w:br w:type="page"/>
      </w:r>
    </w:p>
    <w:p w14:paraId="089F645E" w14:textId="77777777" w:rsidR="00C60C71" w:rsidRDefault="00C60C71">
      <w:pPr>
        <w:pStyle w:val="Heading1"/>
      </w:pPr>
      <w:bookmarkStart w:id="3" w:name="_Toc428785401"/>
      <w:bookmarkStart w:id="4" w:name="_Toc359423942"/>
      <w:bookmarkEnd w:id="0"/>
      <w:bookmarkEnd w:id="1"/>
      <w:r w:rsidRPr="008B3E72">
        <w:lastRenderedPageBreak/>
        <w:t>Executive Summary</w:t>
      </w:r>
      <w:bookmarkEnd w:id="3"/>
    </w:p>
    <w:p w14:paraId="4F74A612" w14:textId="77012C4D" w:rsidR="00A26418" w:rsidRDefault="006C38C7" w:rsidP="00A26418">
      <w:r>
        <w:t>Clovis</w:t>
      </w:r>
      <w:r w:rsidR="00B101E7">
        <w:t xml:space="preserve"> College</w:t>
      </w:r>
      <w:r w:rsidR="00A26418">
        <w:t xml:space="preserve"> (</w:t>
      </w:r>
      <w:r w:rsidR="00B101E7">
        <w:t>RC</w:t>
      </w:r>
      <w:r w:rsidR="00A26418">
        <w:t xml:space="preserve">) </w:t>
      </w:r>
      <w:r w:rsidR="006D3664">
        <w:t>is located</w:t>
      </w:r>
      <w:r w:rsidR="00255372">
        <w:t xml:space="preserve"> </w:t>
      </w:r>
      <w:r w:rsidR="00F618DF">
        <w:t xml:space="preserve">in the city of </w:t>
      </w:r>
      <w:r>
        <w:t>Clovis</w:t>
      </w:r>
      <w:r w:rsidR="00F618DF">
        <w:t xml:space="preserve"> </w:t>
      </w:r>
      <w:r w:rsidR="00255372">
        <w:t xml:space="preserve">and </w:t>
      </w:r>
      <w:r w:rsidR="00A26418">
        <w:t>serves</w:t>
      </w:r>
      <w:r w:rsidR="00204A97">
        <w:t xml:space="preserve"> </w:t>
      </w:r>
      <w:r w:rsidR="0060584B">
        <w:t>four</w:t>
      </w:r>
      <w:r w:rsidR="00204A97">
        <w:t xml:space="preserve"> count</w:t>
      </w:r>
      <w:r w:rsidR="0060584B">
        <w:t>ies</w:t>
      </w:r>
      <w:r w:rsidR="00204A97">
        <w:t xml:space="preserve"> in central</w:t>
      </w:r>
      <w:r w:rsidR="0005379D">
        <w:t xml:space="preserve"> </w:t>
      </w:r>
      <w:r w:rsidR="0060584B">
        <w:t>California</w:t>
      </w:r>
      <w:r w:rsidR="001C673D">
        <w:t>.</w:t>
      </w:r>
      <w:r w:rsidR="00536EB4">
        <w:t xml:space="preserve"> </w:t>
      </w:r>
      <w:r w:rsidR="00A26418">
        <w:t>This report ou</w:t>
      </w:r>
      <w:r w:rsidR="00C17AC1">
        <w:t xml:space="preserve">tlines the economy of </w:t>
      </w:r>
      <w:r w:rsidR="000C672D">
        <w:t>this</w:t>
      </w:r>
      <w:r w:rsidR="001C673D">
        <w:t xml:space="preserve"> </w:t>
      </w:r>
      <w:r w:rsidR="0060584B">
        <w:t>four</w:t>
      </w:r>
      <w:r w:rsidR="00647959" w:rsidRPr="00C17AC1">
        <w:t>-c</w:t>
      </w:r>
      <w:r w:rsidR="00300096" w:rsidRPr="00C17AC1">
        <w:t>ounty</w:t>
      </w:r>
      <w:r w:rsidR="00A26418" w:rsidRPr="00C17AC1">
        <w:t xml:space="preserve"> region </w:t>
      </w:r>
      <w:r w:rsidR="00255372" w:rsidRPr="00C17AC1">
        <w:t>(</w:t>
      </w:r>
      <w:r w:rsidR="0060584B">
        <w:t xml:space="preserve">Fresno, Kings, Madera, </w:t>
      </w:r>
      <w:r w:rsidR="005E54A2">
        <w:t xml:space="preserve">and </w:t>
      </w:r>
      <w:r w:rsidR="0060584B">
        <w:t>Tulare</w:t>
      </w:r>
      <w:r w:rsidR="008E17A7">
        <w:t xml:space="preserve"> </w:t>
      </w:r>
      <w:r w:rsidR="0005379D">
        <w:t>Count</w:t>
      </w:r>
      <w:r w:rsidR="005E54A2">
        <w:t>ies</w:t>
      </w:r>
      <w:r w:rsidR="00255372" w:rsidRPr="00C17AC1">
        <w:t xml:space="preserve">) </w:t>
      </w:r>
      <w:r w:rsidR="00A26418" w:rsidRPr="00C17AC1">
        <w:t>and</w:t>
      </w:r>
      <w:r w:rsidR="00A26418">
        <w:t xml:space="preserve"> provides a “gap” analysis to determine how well the college’s program offerings are satisfying regional workforce demand. The report also offers recommendations for new program development. The following are some of th</w:t>
      </w:r>
      <w:r w:rsidR="000D0ABB">
        <w:t>e key findings of the analysis:</w:t>
      </w:r>
    </w:p>
    <w:p w14:paraId="4913D6C8" w14:textId="75DB81CF" w:rsidR="00A26418" w:rsidRPr="007B291C" w:rsidRDefault="00A26418" w:rsidP="00A26418">
      <w:pPr>
        <w:pStyle w:val="Heading2"/>
      </w:pPr>
      <w:bookmarkStart w:id="5" w:name="_Toc428785402"/>
      <w:r w:rsidRPr="007B291C">
        <w:t xml:space="preserve">Overview of Regional </w:t>
      </w:r>
      <w:r w:rsidR="00D13314">
        <w:t>Economy</w:t>
      </w:r>
      <w:bookmarkEnd w:id="5"/>
    </w:p>
    <w:p w14:paraId="1923931F" w14:textId="102446B5" w:rsidR="00A26418" w:rsidRDefault="00A26418" w:rsidP="00A26418">
      <w:pPr>
        <w:pStyle w:val="ListParagraph"/>
        <w:numPr>
          <w:ilvl w:val="0"/>
          <w:numId w:val="8"/>
        </w:numPr>
      </w:pPr>
      <w:r w:rsidRPr="007B291C">
        <w:t xml:space="preserve">The economy of the region served by </w:t>
      </w:r>
      <w:r w:rsidR="006C38C7">
        <w:t>CC</w:t>
      </w:r>
      <w:r w:rsidRPr="007B291C">
        <w:t xml:space="preserve"> (“the </w:t>
      </w:r>
      <w:r w:rsidR="006C38C7">
        <w:t>CC</w:t>
      </w:r>
      <w:r w:rsidRPr="007B291C">
        <w:t xml:space="preserve"> </w:t>
      </w:r>
      <w:r w:rsidR="00B101E7">
        <w:t>Economic Region</w:t>
      </w:r>
      <w:r w:rsidRPr="007B291C">
        <w:t xml:space="preserve">”) is primarily driven by the </w:t>
      </w:r>
      <w:r w:rsidR="00207F7C">
        <w:t>Government</w:t>
      </w:r>
      <w:r w:rsidR="00204A97">
        <w:t>;</w:t>
      </w:r>
      <w:r w:rsidR="00021DDE">
        <w:t xml:space="preserve"> </w:t>
      </w:r>
      <w:r w:rsidR="0060584B">
        <w:t xml:space="preserve">Agriculture, Forestry, Fishing, &amp; Hunting; </w:t>
      </w:r>
      <w:r w:rsidR="00314C6E">
        <w:t>and</w:t>
      </w:r>
      <w:r w:rsidR="00021DDE" w:rsidRPr="00021DDE">
        <w:t xml:space="preserve"> </w:t>
      </w:r>
      <w:r w:rsidR="0060584B">
        <w:t>Health Care &amp; Social Assistance</w:t>
      </w:r>
      <w:r w:rsidR="00897373" w:rsidRPr="00897373">
        <w:t xml:space="preserve"> </w:t>
      </w:r>
      <w:r w:rsidRPr="007B291C">
        <w:t xml:space="preserve">industries. </w:t>
      </w:r>
      <w:r w:rsidR="0060584B">
        <w:t xml:space="preserve">The Agriculture, Forestry, Fishing, &amp; Hunting and Health Care &amp; Social Assistance </w:t>
      </w:r>
      <w:r w:rsidR="00F618DF">
        <w:t>sectors</w:t>
      </w:r>
      <w:r w:rsidR="00336715">
        <w:t xml:space="preserve"> added </w:t>
      </w:r>
      <w:r w:rsidRPr="007B291C">
        <w:t xml:space="preserve">new jobs between </w:t>
      </w:r>
      <w:r w:rsidR="008B0385">
        <w:t>2009</w:t>
      </w:r>
      <w:r w:rsidRPr="007B291C">
        <w:t xml:space="preserve"> and </w:t>
      </w:r>
      <w:r w:rsidR="008B0385">
        <w:t>2014</w:t>
      </w:r>
      <w:r w:rsidR="002C5EAD">
        <w:t>,</w:t>
      </w:r>
      <w:r w:rsidR="009C26B1">
        <w:t xml:space="preserve"> </w:t>
      </w:r>
      <w:r w:rsidR="0060584B">
        <w:t xml:space="preserve">but </w:t>
      </w:r>
      <w:r w:rsidR="002C5EAD">
        <w:t xml:space="preserve">of the top three industries only </w:t>
      </w:r>
      <w:r w:rsidR="0060584B">
        <w:t>the Health Care &amp; Social Assistance and Government sectors</w:t>
      </w:r>
      <w:r w:rsidR="00021DDE">
        <w:t xml:space="preserve"> are</w:t>
      </w:r>
      <w:r w:rsidR="009C26B1">
        <w:t xml:space="preserve"> </w:t>
      </w:r>
      <w:r w:rsidRPr="007B291C">
        <w:t xml:space="preserve">projected </w:t>
      </w:r>
      <w:r w:rsidR="00F618DF">
        <w:t>to</w:t>
      </w:r>
      <w:r w:rsidRPr="007B291C">
        <w:t xml:space="preserve"> grow through </w:t>
      </w:r>
      <w:r w:rsidR="008B0385">
        <w:t>2024</w:t>
      </w:r>
      <w:r w:rsidRPr="007B291C">
        <w:t xml:space="preserve">. </w:t>
      </w:r>
      <w:r w:rsidR="0060584B">
        <w:t xml:space="preserve">Management of Companies &amp; Enterprises </w:t>
      </w:r>
      <w:r w:rsidR="00314C6E">
        <w:t xml:space="preserve">and </w:t>
      </w:r>
      <w:r w:rsidR="0060584B">
        <w:t xml:space="preserve">Agriculture, Forestry, Fishing, &amp; Hunting </w:t>
      </w:r>
      <w:r w:rsidR="00314C6E">
        <w:t>are</w:t>
      </w:r>
      <w:r w:rsidR="00F22B06">
        <w:t xml:space="preserve"> projected to </w:t>
      </w:r>
      <w:r w:rsidR="0060584B">
        <w:t>lose</w:t>
      </w:r>
      <w:r w:rsidR="00F22B06">
        <w:t xml:space="preserve"> jobs over the next decade. </w:t>
      </w:r>
      <w:r w:rsidRPr="007B291C">
        <w:t xml:space="preserve">Overall the regional job growth is expected to </w:t>
      </w:r>
      <w:r w:rsidR="00536EB4">
        <w:t>be</w:t>
      </w:r>
      <w:r w:rsidR="00CD3B7C">
        <w:t xml:space="preserve"> </w:t>
      </w:r>
      <w:r w:rsidR="00616CF4">
        <w:t>1</w:t>
      </w:r>
      <w:r w:rsidR="0060584B">
        <w:t>3</w:t>
      </w:r>
      <w:r w:rsidR="00CD3B7C">
        <w:t>%</w:t>
      </w:r>
      <w:r w:rsidRPr="007B291C">
        <w:t xml:space="preserve"> over the next decade.</w:t>
      </w:r>
    </w:p>
    <w:p w14:paraId="4E1D0FB2" w14:textId="46A8B61E" w:rsidR="008B0385" w:rsidRPr="007B291C" w:rsidRDefault="008B0385" w:rsidP="008B0385">
      <w:pPr>
        <w:pStyle w:val="ListParagraph"/>
        <w:numPr>
          <w:ilvl w:val="0"/>
          <w:numId w:val="8"/>
        </w:numPr>
      </w:pPr>
      <w:r>
        <w:t>Some</w:t>
      </w:r>
      <w:r w:rsidRPr="006F7C13">
        <w:t xml:space="preserve"> high-skill occupational categories are projected to see </w:t>
      </w:r>
      <w:r w:rsidR="00B17C84">
        <w:t>high</w:t>
      </w:r>
      <w:r w:rsidRPr="006F7C13">
        <w:t xml:space="preserve"> job growth over the next ten years, including</w:t>
      </w:r>
      <w:r w:rsidR="00F618DF">
        <w:t xml:space="preserve"> </w:t>
      </w:r>
      <w:r w:rsidR="00616CF4">
        <w:t>healthcare practitioners &amp; technical</w:t>
      </w:r>
      <w:r>
        <w:t xml:space="preserve"> </w:t>
      </w:r>
      <w:r w:rsidR="00411B62">
        <w:t>occupations (2</w:t>
      </w:r>
      <w:r w:rsidR="0060584B">
        <w:t>1</w:t>
      </w:r>
      <w:r>
        <w:t xml:space="preserve">% job </w:t>
      </w:r>
      <w:r w:rsidR="000824FA">
        <w:t>growth)</w:t>
      </w:r>
      <w:r w:rsidR="004D1960">
        <w:t>,</w:t>
      </w:r>
      <w:r w:rsidR="000824FA">
        <w:t xml:space="preserve"> </w:t>
      </w:r>
      <w:r w:rsidR="00F618DF">
        <w:t>compute</w:t>
      </w:r>
      <w:r w:rsidR="00411B62">
        <w:t>r &amp; mathematical occupations (</w:t>
      </w:r>
      <w:r w:rsidR="00616CF4">
        <w:t>2</w:t>
      </w:r>
      <w:r w:rsidR="0060584B">
        <w:t>0</w:t>
      </w:r>
      <w:r w:rsidR="00F618DF">
        <w:t>% job growth</w:t>
      </w:r>
      <w:r w:rsidRPr="006F7C13">
        <w:t>)</w:t>
      </w:r>
      <w:r w:rsidR="004D1960">
        <w:t xml:space="preserve">, and </w:t>
      </w:r>
      <w:r w:rsidR="00411B62">
        <w:t>architecture &amp; engineering</w:t>
      </w:r>
      <w:r w:rsidR="004D1960">
        <w:t xml:space="preserve"> occupations (</w:t>
      </w:r>
      <w:r w:rsidR="0060584B">
        <w:t>1</w:t>
      </w:r>
      <w:r w:rsidR="00616CF4">
        <w:t>2</w:t>
      </w:r>
      <w:r w:rsidR="004D1960">
        <w:t>% job growth)</w:t>
      </w:r>
      <w:r w:rsidR="0060584B">
        <w:t>.</w:t>
      </w:r>
    </w:p>
    <w:p w14:paraId="04CFC549" w14:textId="0191C59C" w:rsidR="00A26418" w:rsidRPr="006F7C13" w:rsidRDefault="00A26418" w:rsidP="00A26418">
      <w:pPr>
        <w:pStyle w:val="ListParagraph"/>
        <w:numPr>
          <w:ilvl w:val="0"/>
          <w:numId w:val="8"/>
        </w:numPr>
      </w:pPr>
      <w:r w:rsidRPr="007B291C">
        <w:t xml:space="preserve">Between </w:t>
      </w:r>
      <w:r w:rsidR="008B0385">
        <w:t>2014</w:t>
      </w:r>
      <w:r w:rsidRPr="007B291C">
        <w:t xml:space="preserve"> and </w:t>
      </w:r>
      <w:r w:rsidR="008B0385">
        <w:t>2024</w:t>
      </w:r>
      <w:r w:rsidRPr="007B291C">
        <w:t xml:space="preserve">, the highest number of average annual job openings for workers with postsecondary certificates and above are projected to occur within </w:t>
      </w:r>
      <w:r w:rsidR="00411B62">
        <w:t xml:space="preserve">office &amp; administrative support </w:t>
      </w:r>
      <w:r w:rsidR="008B0385">
        <w:t>occupations</w:t>
      </w:r>
      <w:r w:rsidR="00616CF4">
        <w:t>;</w:t>
      </w:r>
      <w:r w:rsidR="004D1960">
        <w:t xml:space="preserve"> </w:t>
      </w:r>
      <w:r w:rsidR="00616CF4" w:rsidRPr="007B291C">
        <w:t xml:space="preserve">sales &amp; </w:t>
      </w:r>
      <w:r w:rsidR="00616CF4">
        <w:lastRenderedPageBreak/>
        <w:t xml:space="preserve">related occupations; </w:t>
      </w:r>
      <w:r w:rsidR="004D1960">
        <w:t xml:space="preserve">and </w:t>
      </w:r>
      <w:r w:rsidR="00616CF4">
        <w:t>education, training, &amp; library</w:t>
      </w:r>
      <w:r w:rsidR="00411B62">
        <w:t xml:space="preserve"> </w:t>
      </w:r>
      <w:r w:rsidR="004D1960">
        <w:t>occupations.</w:t>
      </w:r>
    </w:p>
    <w:p w14:paraId="1CDE3D2E" w14:textId="66264109" w:rsidR="00A26418" w:rsidRPr="005C6469" w:rsidRDefault="00197B19" w:rsidP="00A26418">
      <w:pPr>
        <w:pStyle w:val="ListParagraph"/>
        <w:numPr>
          <w:ilvl w:val="0"/>
          <w:numId w:val="8"/>
        </w:numPr>
      </w:pPr>
      <w:r>
        <w:rPr>
          <w:color w:val="000000"/>
        </w:rPr>
        <w:t>A</w:t>
      </w:r>
      <w:r w:rsidR="00506390">
        <w:rPr>
          <w:color w:val="000000"/>
        </w:rPr>
        <w:t>round</w:t>
      </w:r>
      <w:r w:rsidR="004E3BBD">
        <w:rPr>
          <w:color w:val="000000"/>
        </w:rPr>
        <w:t xml:space="preserve"> </w:t>
      </w:r>
      <w:r w:rsidR="005E54A2">
        <w:rPr>
          <w:color w:val="000000"/>
        </w:rPr>
        <w:t>21</w:t>
      </w:r>
      <w:r w:rsidR="00A26418" w:rsidRPr="005C6469">
        <w:rPr>
          <w:color w:val="000000"/>
        </w:rPr>
        <w:t xml:space="preserve">% of residents in the </w:t>
      </w:r>
      <w:r w:rsidR="008B0385">
        <w:rPr>
          <w:color w:val="000000"/>
        </w:rPr>
        <w:t>area</w:t>
      </w:r>
      <w:r w:rsidR="00A26418" w:rsidRPr="005C6469">
        <w:rPr>
          <w:color w:val="000000"/>
        </w:rPr>
        <w:t xml:space="preserve"> commute outside the </w:t>
      </w:r>
      <w:r w:rsidR="00B101E7">
        <w:rPr>
          <w:color w:val="000000"/>
        </w:rPr>
        <w:t>RC</w:t>
      </w:r>
      <w:r w:rsidR="008B0385">
        <w:rPr>
          <w:color w:val="000000"/>
        </w:rPr>
        <w:t xml:space="preserve"> </w:t>
      </w:r>
      <w:r w:rsidR="00B101E7">
        <w:rPr>
          <w:color w:val="000000"/>
        </w:rPr>
        <w:t>Economic Region</w:t>
      </w:r>
      <w:r w:rsidR="00A26418" w:rsidRPr="005C6469">
        <w:rPr>
          <w:color w:val="000000"/>
        </w:rPr>
        <w:t xml:space="preserve"> for work and </w:t>
      </w:r>
      <w:r w:rsidR="00506390">
        <w:rPr>
          <w:color w:val="000000"/>
        </w:rPr>
        <w:t>roughly</w:t>
      </w:r>
      <w:r w:rsidR="00A26418" w:rsidRPr="005C6469">
        <w:rPr>
          <w:color w:val="000000"/>
        </w:rPr>
        <w:t xml:space="preserve"> </w:t>
      </w:r>
      <w:r w:rsidR="005E54A2">
        <w:rPr>
          <w:color w:val="000000"/>
        </w:rPr>
        <w:t>18</w:t>
      </w:r>
      <w:r w:rsidR="00A26418" w:rsidRPr="005C6469">
        <w:rPr>
          <w:color w:val="000000"/>
        </w:rPr>
        <w:t xml:space="preserve">% of the </w:t>
      </w:r>
      <w:r w:rsidR="00B101E7">
        <w:rPr>
          <w:color w:val="000000"/>
        </w:rPr>
        <w:t>RC</w:t>
      </w:r>
      <w:r w:rsidR="006628FA">
        <w:rPr>
          <w:color w:val="000000"/>
        </w:rPr>
        <w:t xml:space="preserve"> </w:t>
      </w:r>
      <w:r w:rsidR="00B101E7">
        <w:rPr>
          <w:color w:val="000000"/>
        </w:rPr>
        <w:t>Economic Region</w:t>
      </w:r>
      <w:r w:rsidR="00A26418" w:rsidRPr="005C6469">
        <w:rPr>
          <w:color w:val="000000"/>
        </w:rPr>
        <w:t xml:space="preserve"> workers reside outside the </w:t>
      </w:r>
      <w:r w:rsidR="008B0385">
        <w:rPr>
          <w:color w:val="000000"/>
        </w:rPr>
        <w:t>area</w:t>
      </w:r>
      <w:r w:rsidR="00A26418" w:rsidRPr="005C6469">
        <w:rPr>
          <w:color w:val="000000"/>
        </w:rPr>
        <w:t xml:space="preserve">, indicating that there </w:t>
      </w:r>
      <w:r w:rsidR="005C6469" w:rsidRPr="005C6469">
        <w:rPr>
          <w:color w:val="000000"/>
        </w:rPr>
        <w:t>are economic</w:t>
      </w:r>
      <w:r w:rsidR="00A26418" w:rsidRPr="005C6469">
        <w:rPr>
          <w:color w:val="000000"/>
        </w:rPr>
        <w:t xml:space="preserve"> links between the </w:t>
      </w:r>
      <w:r w:rsidR="00B101E7">
        <w:rPr>
          <w:color w:val="000000"/>
        </w:rPr>
        <w:t>RC</w:t>
      </w:r>
      <w:r w:rsidR="008B0385">
        <w:rPr>
          <w:color w:val="000000"/>
        </w:rPr>
        <w:t xml:space="preserve"> </w:t>
      </w:r>
      <w:r w:rsidR="00B101E7">
        <w:rPr>
          <w:color w:val="000000"/>
        </w:rPr>
        <w:t>Economic Region</w:t>
      </w:r>
      <w:r w:rsidR="00A26418" w:rsidRPr="005C6469">
        <w:rPr>
          <w:color w:val="000000"/>
        </w:rPr>
        <w:t xml:space="preserve"> and the surrounding communities for </w:t>
      </w:r>
      <w:r w:rsidR="005D67A6">
        <w:t>both</w:t>
      </w:r>
      <w:r w:rsidR="00A26418" w:rsidRPr="005C6469">
        <w:t xml:space="preserve"> </w:t>
      </w:r>
      <w:r w:rsidR="005E54A2">
        <w:t>out</w:t>
      </w:r>
      <w:r w:rsidR="00A26418" w:rsidRPr="005C6469">
        <w:t xml:space="preserve">-commuters </w:t>
      </w:r>
      <w:r w:rsidR="005D67A6">
        <w:t>and</w:t>
      </w:r>
      <w:r w:rsidR="00A26418" w:rsidRPr="005C6469">
        <w:t xml:space="preserve"> </w:t>
      </w:r>
      <w:r w:rsidR="005E54A2">
        <w:t>in</w:t>
      </w:r>
      <w:r w:rsidR="00A26418" w:rsidRPr="005C6469">
        <w:t>-commuters.</w:t>
      </w:r>
    </w:p>
    <w:p w14:paraId="4DE48BAA" w14:textId="5F8EC81E" w:rsidR="006F7C13" w:rsidRPr="006F7C13" w:rsidRDefault="00A26418" w:rsidP="00C41E7B">
      <w:pPr>
        <w:pStyle w:val="ListParagraph"/>
        <w:numPr>
          <w:ilvl w:val="0"/>
          <w:numId w:val="8"/>
        </w:numPr>
      </w:pPr>
      <w:r w:rsidRPr="006F7C13">
        <w:t xml:space="preserve">The educational composition of the adult population in </w:t>
      </w:r>
      <w:r w:rsidR="00255372">
        <w:t>t</w:t>
      </w:r>
      <w:r w:rsidR="006628FA">
        <w:t xml:space="preserve">he </w:t>
      </w:r>
      <w:r w:rsidR="00B101E7">
        <w:t>RC</w:t>
      </w:r>
      <w:r w:rsidR="006628FA">
        <w:t xml:space="preserve"> </w:t>
      </w:r>
      <w:r w:rsidR="00B101E7">
        <w:t>Economic Region</w:t>
      </w:r>
      <w:r w:rsidRPr="006F7C13">
        <w:t xml:space="preserve"> (people age 2</w:t>
      </w:r>
      <w:r w:rsidR="002C26D9">
        <w:t>5</w:t>
      </w:r>
      <w:r w:rsidRPr="006F7C13">
        <w:t xml:space="preserve"> and older) has seen </w:t>
      </w:r>
      <w:r w:rsidR="008B0385">
        <w:t>a small</w:t>
      </w:r>
      <w:r w:rsidR="009E1884">
        <w:t xml:space="preserve"> shift</w:t>
      </w:r>
      <w:r w:rsidRPr="006F7C13">
        <w:t xml:space="preserve"> in recent years. Between </w:t>
      </w:r>
      <w:r w:rsidR="008B0385">
        <w:t>2009</w:t>
      </w:r>
      <w:r w:rsidRPr="006F7C13">
        <w:t xml:space="preserve"> and </w:t>
      </w:r>
      <w:r w:rsidR="008B0385">
        <w:t>2014</w:t>
      </w:r>
      <w:r w:rsidRPr="006F7C13">
        <w:t>,</w:t>
      </w:r>
      <w:r w:rsidR="00FB6970">
        <w:t xml:space="preserve"> the </w:t>
      </w:r>
      <w:r w:rsidR="008B0385">
        <w:t>proportion</w:t>
      </w:r>
      <w:r w:rsidR="00FB6970">
        <w:t xml:space="preserve"> of adults with less than a</w:t>
      </w:r>
      <w:r w:rsidRPr="006F7C13">
        <w:t xml:space="preserve"> high school diploma</w:t>
      </w:r>
      <w:r>
        <w:t xml:space="preserve"> </w:t>
      </w:r>
      <w:r w:rsidR="00616CF4">
        <w:t>in</w:t>
      </w:r>
      <w:r w:rsidR="009E1884">
        <w:t>creased</w:t>
      </w:r>
      <w:r w:rsidRPr="006F7C13">
        <w:t xml:space="preserve"> by </w:t>
      </w:r>
      <w:r w:rsidR="005E54A2">
        <w:t>2.7</w:t>
      </w:r>
      <w:r w:rsidR="00C41E7B">
        <w:t xml:space="preserve"> </w:t>
      </w:r>
      <w:r w:rsidRPr="006F7C13">
        <w:t>percentage point</w:t>
      </w:r>
      <w:r w:rsidR="004D1960">
        <w:t>s</w:t>
      </w:r>
      <w:r w:rsidR="008B0385">
        <w:t xml:space="preserve"> </w:t>
      </w:r>
      <w:r w:rsidR="00C41E7B">
        <w:t>and</w:t>
      </w:r>
      <w:r w:rsidR="008B0385">
        <w:t xml:space="preserve"> the proportion with </w:t>
      </w:r>
      <w:r w:rsidR="00F618DF">
        <w:t xml:space="preserve">a </w:t>
      </w:r>
      <w:r w:rsidR="008B0385">
        <w:t>high</w:t>
      </w:r>
      <w:r w:rsidR="00C41E7B">
        <w:t xml:space="preserve"> school diploma </w:t>
      </w:r>
      <w:r w:rsidR="005E54A2">
        <w:t>de</w:t>
      </w:r>
      <w:r w:rsidR="008B0385">
        <w:t xml:space="preserve">creased by </w:t>
      </w:r>
      <w:r w:rsidR="005E54A2">
        <w:t>1.3</w:t>
      </w:r>
      <w:r w:rsidR="008B0385">
        <w:t xml:space="preserve"> percentage point</w:t>
      </w:r>
      <w:r w:rsidR="004D1960">
        <w:t>s</w:t>
      </w:r>
      <w:r w:rsidRPr="006F7C13">
        <w:t xml:space="preserve">. </w:t>
      </w:r>
      <w:r>
        <w:t xml:space="preserve">Meanwhile, the </w:t>
      </w:r>
      <w:r w:rsidRPr="006F7C13">
        <w:t>p</w:t>
      </w:r>
      <w:r w:rsidR="008B0385">
        <w:t>roportion</w:t>
      </w:r>
      <w:r w:rsidRPr="006F7C13">
        <w:t xml:space="preserve"> of adults </w:t>
      </w:r>
      <w:r w:rsidR="00C41E7B">
        <w:t>with other levels of education</w:t>
      </w:r>
      <w:r w:rsidR="00D745AA">
        <w:t xml:space="preserve"> </w:t>
      </w:r>
      <w:r w:rsidR="003406EF">
        <w:t xml:space="preserve">decreased </w:t>
      </w:r>
      <w:r w:rsidR="005E54A2">
        <w:t>slightly in the past five years; notably those with some college and bachelor’s degree levels (decreased by 0.6 and 0.4 percentage points, respectively).</w:t>
      </w:r>
    </w:p>
    <w:p w14:paraId="37A149A9" w14:textId="77777777" w:rsidR="00A26418" w:rsidRPr="00EF753F" w:rsidRDefault="00A26418" w:rsidP="00A26418">
      <w:pPr>
        <w:pStyle w:val="Heading2"/>
        <w:rPr>
          <w:sz w:val="26"/>
          <w:szCs w:val="26"/>
        </w:rPr>
      </w:pPr>
      <w:bookmarkStart w:id="6" w:name="_Toc428785403"/>
      <w:r w:rsidRPr="007B1C4F">
        <w:t xml:space="preserve">Program </w:t>
      </w:r>
      <w:r w:rsidRPr="008761D8">
        <w:t>Gap Analysis</w:t>
      </w:r>
      <w:bookmarkEnd w:id="6"/>
    </w:p>
    <w:p w14:paraId="6454DAA3" w14:textId="3EF8CE5E" w:rsidR="00137FE6" w:rsidRPr="00137FE6" w:rsidRDefault="001603CC" w:rsidP="00205918">
      <w:pPr>
        <w:pStyle w:val="ListParagraph"/>
        <w:numPr>
          <w:ilvl w:val="0"/>
          <w:numId w:val="9"/>
        </w:numPr>
        <w:rPr>
          <w:rFonts w:cs="Arial"/>
          <w:color w:val="000000"/>
        </w:rPr>
      </w:pPr>
      <w:r w:rsidRPr="000F1263">
        <w:t xml:space="preserve">Between both </w:t>
      </w:r>
      <w:r w:rsidR="00AE6187">
        <w:t xml:space="preserve">levels of </w:t>
      </w:r>
      <w:r w:rsidRPr="000F1263">
        <w:t xml:space="preserve">postsecondary certificate and associate’s degree, there are a total of </w:t>
      </w:r>
      <w:r w:rsidR="00835618">
        <w:t>12</w:t>
      </w:r>
      <w:r w:rsidR="00102849">
        <w:t xml:space="preserve"> </w:t>
      </w:r>
      <w:r w:rsidRPr="000F1263">
        <w:t xml:space="preserve">programs associated with </w:t>
      </w:r>
      <w:r>
        <w:t xml:space="preserve">significant </w:t>
      </w:r>
      <w:r w:rsidRPr="000F1263">
        <w:t>workforce gaps</w:t>
      </w:r>
      <w:r w:rsidR="00AE6187">
        <w:t xml:space="preserve">. </w:t>
      </w:r>
    </w:p>
    <w:p w14:paraId="4E2AB1F3" w14:textId="422F42AB" w:rsidR="00102849" w:rsidRPr="00102849" w:rsidRDefault="00835618" w:rsidP="00205918">
      <w:pPr>
        <w:pStyle w:val="ListParagraph"/>
        <w:numPr>
          <w:ilvl w:val="0"/>
          <w:numId w:val="9"/>
        </w:numPr>
        <w:rPr>
          <w:rFonts w:cs="Arial"/>
          <w:color w:val="000000"/>
        </w:rPr>
      </w:pPr>
      <w:r>
        <w:t>General Office Occupations &amp; Clerical Services</w:t>
      </w:r>
      <w:r w:rsidR="00102849" w:rsidRPr="00201DBA">
        <w:t xml:space="preserve"> </w:t>
      </w:r>
      <w:r w:rsidR="00102849">
        <w:t>has the largest certificate level gap (</w:t>
      </w:r>
      <w:r>
        <w:t>gap of 645</w:t>
      </w:r>
      <w:r w:rsidR="00102849">
        <w:t>)</w:t>
      </w:r>
      <w:r w:rsidR="002C5EAD">
        <w:t>,</w:t>
      </w:r>
      <w:r w:rsidR="00102849">
        <w:t xml:space="preserve"> but compensation from related occupations is relatively low (median hourly earnings $1</w:t>
      </w:r>
      <w:r>
        <w:t>3.89</w:t>
      </w:r>
      <w:r w:rsidR="00102849">
        <w:t xml:space="preserve">). </w:t>
      </w:r>
      <w:r>
        <w:t>Accounting</w:t>
      </w:r>
      <w:r w:rsidR="00102849">
        <w:t xml:space="preserve"> </w:t>
      </w:r>
      <w:r>
        <w:t>has the second largest certificate level gap</w:t>
      </w:r>
      <w:r w:rsidR="00102849">
        <w:t xml:space="preserve"> (gap of </w:t>
      </w:r>
      <w:r>
        <w:t>110</w:t>
      </w:r>
      <w:r w:rsidR="00102849">
        <w:t>; median hourly wage $1</w:t>
      </w:r>
      <w:r>
        <w:t>6.67</w:t>
      </w:r>
      <w:r w:rsidR="00102849">
        <w:t xml:space="preserve">). </w:t>
      </w:r>
      <w:r>
        <w:t>Child Development/Early Care &amp; Education</w:t>
      </w:r>
      <w:r w:rsidR="00102849">
        <w:t xml:space="preserve">, the third largest certificate level gap, has a </w:t>
      </w:r>
      <w:r>
        <w:t>significant</w:t>
      </w:r>
      <w:r w:rsidR="00102849">
        <w:t xml:space="preserve"> gap </w:t>
      </w:r>
      <w:r>
        <w:t>but</w:t>
      </w:r>
      <w:r w:rsidR="00102849">
        <w:t xml:space="preserve"> is mapped to </w:t>
      </w:r>
      <w:r>
        <w:t>lower</w:t>
      </w:r>
      <w:r w:rsidR="00102849">
        <w:t xml:space="preserve"> paying occupations (gap of </w:t>
      </w:r>
      <w:r>
        <w:t>90</w:t>
      </w:r>
      <w:r w:rsidR="00102849">
        <w:t>, median hourly earnings $</w:t>
      </w:r>
      <w:r>
        <w:t>9.90</w:t>
      </w:r>
      <w:r w:rsidR="00102849">
        <w:t xml:space="preserve">). </w:t>
      </w:r>
    </w:p>
    <w:p w14:paraId="2CBFF658" w14:textId="0F380D66" w:rsidR="00D63830" w:rsidRPr="00835618" w:rsidRDefault="00102849" w:rsidP="00835618">
      <w:pPr>
        <w:pStyle w:val="ListParagraph"/>
        <w:numPr>
          <w:ilvl w:val="0"/>
          <w:numId w:val="9"/>
        </w:numPr>
        <w:rPr>
          <w:rFonts w:cs="Arial"/>
          <w:color w:val="000000"/>
        </w:rPr>
      </w:pPr>
      <w:r>
        <w:t xml:space="preserve">The three largest associate’s degree level gaps are: </w:t>
      </w:r>
      <w:r w:rsidR="00835618">
        <w:t>General Office Occupations &amp; Clerical Services</w:t>
      </w:r>
      <w:r w:rsidR="00835618" w:rsidRPr="00201DBA">
        <w:t xml:space="preserve"> </w:t>
      </w:r>
      <w:r>
        <w:t xml:space="preserve">(gap of </w:t>
      </w:r>
      <w:r w:rsidR="00835618">
        <w:t>669; median hourly earnings $13.8</w:t>
      </w:r>
      <w:r>
        <w:t xml:space="preserve">9), </w:t>
      </w:r>
      <w:r w:rsidR="00835618">
        <w:t xml:space="preserve">Child Development </w:t>
      </w:r>
      <w:r>
        <w:t xml:space="preserve">(gap of </w:t>
      </w:r>
      <w:r w:rsidR="00835618">
        <w:t>72</w:t>
      </w:r>
      <w:r>
        <w:t>; median hourly earnings $</w:t>
      </w:r>
      <w:r w:rsidR="00835618">
        <w:t>9.90</w:t>
      </w:r>
      <w:r>
        <w:t xml:space="preserve">), and </w:t>
      </w:r>
      <w:r w:rsidR="00835618">
        <w:t xml:space="preserve">Early Care &amp; Education </w:t>
      </w:r>
      <w:r>
        <w:t xml:space="preserve">(gap of </w:t>
      </w:r>
      <w:r w:rsidR="00835618">
        <w:t>32</w:t>
      </w:r>
      <w:r>
        <w:t xml:space="preserve">; </w:t>
      </w:r>
      <w:r w:rsidR="00835618">
        <w:t xml:space="preserve">median hourly earnings $19.58). </w:t>
      </w:r>
      <w:r w:rsidRPr="00835618">
        <w:rPr>
          <w:rFonts w:cs="Arial"/>
          <w:color w:val="000000"/>
        </w:rPr>
        <w:t>Some</w:t>
      </w:r>
      <w:r w:rsidR="00205918" w:rsidRPr="00835618">
        <w:rPr>
          <w:rFonts w:cs="Arial"/>
          <w:color w:val="000000"/>
        </w:rPr>
        <w:t xml:space="preserve"> of these same programs have </w:t>
      </w:r>
      <w:r w:rsidR="00205918" w:rsidRPr="00835618">
        <w:rPr>
          <w:rFonts w:cs="Arial"/>
          <w:color w:val="000000"/>
        </w:rPr>
        <w:lastRenderedPageBreak/>
        <w:t xml:space="preserve">gaps at the </w:t>
      </w:r>
      <w:r w:rsidR="00D63830" w:rsidRPr="00835618">
        <w:rPr>
          <w:rFonts w:cs="Arial"/>
          <w:color w:val="000000"/>
        </w:rPr>
        <w:t xml:space="preserve">certificate level and </w:t>
      </w:r>
      <w:r w:rsidR="00205918" w:rsidRPr="00835618">
        <w:rPr>
          <w:rFonts w:cs="Arial"/>
          <w:color w:val="000000"/>
        </w:rPr>
        <w:t>associate’s degree level</w:t>
      </w:r>
      <w:r w:rsidR="00C3609A" w:rsidRPr="00835618">
        <w:rPr>
          <w:rFonts w:cs="Arial"/>
          <w:color w:val="000000"/>
        </w:rPr>
        <w:t xml:space="preserve">. </w:t>
      </w:r>
    </w:p>
    <w:p w14:paraId="7793D894" w14:textId="6D5830D5" w:rsidR="00102849" w:rsidRPr="00102849" w:rsidRDefault="00835618" w:rsidP="00205918">
      <w:pPr>
        <w:pStyle w:val="ListParagraph"/>
        <w:numPr>
          <w:ilvl w:val="0"/>
          <w:numId w:val="9"/>
        </w:numPr>
        <w:rPr>
          <w:rFonts w:cs="Arial"/>
          <w:color w:val="000000"/>
        </w:rPr>
      </w:pPr>
      <w:r>
        <w:t>Licensed Vocational Nursing</w:t>
      </w:r>
      <w:r w:rsidR="00102849">
        <w:t xml:space="preserve"> (surplus </w:t>
      </w:r>
      <w:r>
        <w:t>182</w:t>
      </w:r>
      <w:r w:rsidR="00102849">
        <w:t xml:space="preserve">), </w:t>
      </w:r>
      <w:r>
        <w:t>Dental Assistant (surplus 182</w:t>
      </w:r>
      <w:r w:rsidR="00102849">
        <w:t xml:space="preserve">), and </w:t>
      </w:r>
      <w:r>
        <w:t xml:space="preserve">Child Development/Early Care &amp; Education </w:t>
      </w:r>
      <w:r w:rsidR="00102849">
        <w:t xml:space="preserve">(surplus </w:t>
      </w:r>
      <w:r>
        <w:t>114</w:t>
      </w:r>
      <w:r w:rsidR="00102849">
        <w:t xml:space="preserve">) are the three programs associated with the largest surpluses of completers at the certificate level. </w:t>
      </w:r>
    </w:p>
    <w:p w14:paraId="764C8CD5" w14:textId="58D6B7C8" w:rsidR="00102849" w:rsidRPr="00102849" w:rsidRDefault="00102849" w:rsidP="00205918">
      <w:pPr>
        <w:pStyle w:val="ListParagraph"/>
        <w:numPr>
          <w:ilvl w:val="0"/>
          <w:numId w:val="9"/>
        </w:numPr>
        <w:rPr>
          <w:rFonts w:cs="Arial"/>
          <w:color w:val="000000"/>
        </w:rPr>
      </w:pPr>
      <w:r>
        <w:t>Nursing (surplus of 51</w:t>
      </w:r>
      <w:r w:rsidR="00835618">
        <w:t>1</w:t>
      </w:r>
      <w:r>
        <w:t xml:space="preserve">), </w:t>
      </w:r>
      <w:r w:rsidR="00835618">
        <w:t xml:space="preserve">General Social Sciences </w:t>
      </w:r>
      <w:r>
        <w:t xml:space="preserve">(surplus of </w:t>
      </w:r>
      <w:r w:rsidR="00835618">
        <w:t>244</w:t>
      </w:r>
      <w:r>
        <w:t xml:space="preserve">), and </w:t>
      </w:r>
      <w:r w:rsidR="00835618">
        <w:t>Administration of Justice</w:t>
      </w:r>
      <w:r>
        <w:t xml:space="preserve"> (surplus of </w:t>
      </w:r>
      <w:r w:rsidR="00835618">
        <w:t>176</w:t>
      </w:r>
      <w:r>
        <w:t xml:space="preserve">) are top three associate’s degree level surpluses. </w:t>
      </w:r>
    </w:p>
    <w:p w14:paraId="7E33CD9C" w14:textId="1516F49F" w:rsidR="00102849" w:rsidRPr="00102849" w:rsidRDefault="00102849" w:rsidP="00205918">
      <w:pPr>
        <w:pStyle w:val="ListParagraph"/>
        <w:numPr>
          <w:ilvl w:val="0"/>
          <w:numId w:val="9"/>
        </w:numPr>
        <w:rPr>
          <w:rFonts w:cs="Arial"/>
          <w:color w:val="000000"/>
        </w:rPr>
      </w:pPr>
      <w:r>
        <w:t xml:space="preserve">For some of the programs, </w:t>
      </w:r>
      <w:r w:rsidR="00B101E7">
        <w:t>RC</w:t>
      </w:r>
      <w:r>
        <w:t xml:space="preserve"> is producing a moderate number of new completers, but additional supply from other regional institutions leads to the surplus.</w:t>
      </w:r>
      <w:r w:rsidR="00222A71">
        <w:t xml:space="preserve"> </w:t>
      </w:r>
      <w:r>
        <w:t xml:space="preserve">It is possible that some of the completers are seeking employment outside the </w:t>
      </w:r>
      <w:r w:rsidR="00B101E7">
        <w:t>RC</w:t>
      </w:r>
      <w:r>
        <w:t xml:space="preserve"> </w:t>
      </w:r>
      <w:r w:rsidR="00B101E7">
        <w:t>Economic Region</w:t>
      </w:r>
      <w:r>
        <w:t>.</w:t>
      </w:r>
    </w:p>
    <w:p w14:paraId="05A9C1EF" w14:textId="35940A93" w:rsidR="00102849" w:rsidRPr="00205918" w:rsidRDefault="00102849" w:rsidP="00102849">
      <w:pPr>
        <w:pStyle w:val="ListParagraph"/>
        <w:numPr>
          <w:ilvl w:val="0"/>
          <w:numId w:val="9"/>
        </w:numPr>
        <w:rPr>
          <w:rFonts w:cs="Arial"/>
          <w:color w:val="000000"/>
        </w:rPr>
      </w:pPr>
      <w:r w:rsidRPr="00CE7D95">
        <w:rPr>
          <w:szCs w:val="22"/>
        </w:rPr>
        <w:t xml:space="preserve">There are </w:t>
      </w:r>
      <w:r w:rsidR="00835618">
        <w:rPr>
          <w:szCs w:val="22"/>
        </w:rPr>
        <w:t>17</w:t>
      </w:r>
      <w:r w:rsidRPr="00CE7D95">
        <w:rPr>
          <w:szCs w:val="22"/>
        </w:rPr>
        <w:t xml:space="preserve"> postsecondary certificate level areas of opportunity </w:t>
      </w:r>
      <w:r>
        <w:rPr>
          <w:szCs w:val="22"/>
        </w:rPr>
        <w:t>identified</w:t>
      </w:r>
      <w:r w:rsidRPr="00CE7D95">
        <w:rPr>
          <w:szCs w:val="22"/>
        </w:rPr>
        <w:t xml:space="preserve">. Wage rates </w:t>
      </w:r>
      <w:r>
        <w:rPr>
          <w:szCs w:val="22"/>
        </w:rPr>
        <w:t xml:space="preserve">are in a </w:t>
      </w:r>
      <w:r w:rsidRPr="00CE7D95">
        <w:rPr>
          <w:szCs w:val="22"/>
        </w:rPr>
        <w:t xml:space="preserve">range </w:t>
      </w:r>
      <w:r>
        <w:rPr>
          <w:szCs w:val="22"/>
        </w:rPr>
        <w:t>between</w:t>
      </w:r>
      <w:r w:rsidRPr="00CE7D95">
        <w:rPr>
          <w:szCs w:val="22"/>
        </w:rPr>
        <w:t xml:space="preserve"> $</w:t>
      </w:r>
      <w:r>
        <w:rPr>
          <w:szCs w:val="22"/>
        </w:rPr>
        <w:t>12.</w:t>
      </w:r>
      <w:r w:rsidR="00835618">
        <w:rPr>
          <w:szCs w:val="22"/>
        </w:rPr>
        <w:t>27</w:t>
      </w:r>
      <w:r w:rsidRPr="00CE7D95">
        <w:rPr>
          <w:szCs w:val="22"/>
        </w:rPr>
        <w:t xml:space="preserve"> for </w:t>
      </w:r>
      <w:r w:rsidR="00835618">
        <w:rPr>
          <w:szCs w:val="22"/>
        </w:rPr>
        <w:t>farmworkers, farm, ranch, &amp; aquacultural animals</w:t>
      </w:r>
      <w:r w:rsidRPr="00CE7D95">
        <w:rPr>
          <w:szCs w:val="22"/>
        </w:rPr>
        <w:t xml:space="preserve"> to </w:t>
      </w:r>
      <w:r>
        <w:rPr>
          <w:szCs w:val="22"/>
        </w:rPr>
        <w:t>a high of $</w:t>
      </w:r>
      <w:r w:rsidR="00835618">
        <w:rPr>
          <w:szCs w:val="22"/>
        </w:rPr>
        <w:t>39.62 for electrical power-line installers &amp; repairers</w:t>
      </w:r>
      <w:r>
        <w:rPr>
          <w:szCs w:val="22"/>
        </w:rPr>
        <w:t>.</w:t>
      </w:r>
    </w:p>
    <w:p w14:paraId="387A31A4" w14:textId="7196915C" w:rsidR="00102849" w:rsidRPr="00102849" w:rsidRDefault="00835618" w:rsidP="00205918">
      <w:pPr>
        <w:pStyle w:val="ListParagraph"/>
        <w:numPr>
          <w:ilvl w:val="0"/>
          <w:numId w:val="9"/>
        </w:numPr>
        <w:rPr>
          <w:rFonts w:cs="Arial"/>
          <w:color w:val="000000"/>
        </w:rPr>
      </w:pPr>
      <w:r>
        <w:rPr>
          <w:szCs w:val="22"/>
        </w:rPr>
        <w:t>Th</w:t>
      </w:r>
      <w:r w:rsidR="00102849" w:rsidRPr="00102849">
        <w:rPr>
          <w:szCs w:val="22"/>
        </w:rPr>
        <w:t xml:space="preserve">e largest gaps in the programmatic areas of opportunity were for blue collar occupations like heavy &amp; tractor-trailer truck drivers, general maintenance &amp; repair workers, and industrial </w:t>
      </w:r>
      <w:r>
        <w:rPr>
          <w:szCs w:val="22"/>
        </w:rPr>
        <w:t>truck &amp; tractor operators</w:t>
      </w:r>
      <w:r w:rsidR="00102849" w:rsidRPr="00102849">
        <w:rPr>
          <w:szCs w:val="22"/>
        </w:rPr>
        <w:t xml:space="preserve"> appear to be undersupplied in the </w:t>
      </w:r>
      <w:r w:rsidR="00B101E7">
        <w:rPr>
          <w:szCs w:val="22"/>
        </w:rPr>
        <w:t>RC</w:t>
      </w:r>
      <w:r w:rsidR="00102849" w:rsidRPr="00102849">
        <w:rPr>
          <w:szCs w:val="22"/>
        </w:rPr>
        <w:t xml:space="preserve"> </w:t>
      </w:r>
      <w:r w:rsidR="00B101E7">
        <w:rPr>
          <w:szCs w:val="22"/>
        </w:rPr>
        <w:t>Economic Region</w:t>
      </w:r>
      <w:r w:rsidR="00102849" w:rsidRPr="00102849">
        <w:rPr>
          <w:szCs w:val="22"/>
        </w:rPr>
        <w:t>.</w:t>
      </w:r>
      <w:r w:rsidR="00102849">
        <w:rPr>
          <w:szCs w:val="22"/>
        </w:rPr>
        <w:t xml:space="preserve"> </w:t>
      </w:r>
      <w:r>
        <w:rPr>
          <w:szCs w:val="22"/>
        </w:rPr>
        <w:t>Some</w:t>
      </w:r>
      <w:r w:rsidR="00102849" w:rsidRPr="00102849">
        <w:rPr>
          <w:szCs w:val="22"/>
        </w:rPr>
        <w:t xml:space="preserve"> skilled trades are also among the top areas of opportunity: electricians and carpenters</w:t>
      </w:r>
      <w:r w:rsidR="00222A71">
        <w:rPr>
          <w:szCs w:val="22"/>
        </w:rPr>
        <w:t>.</w:t>
      </w:r>
    </w:p>
    <w:p w14:paraId="1BD3646B" w14:textId="7B92C2E6" w:rsidR="00102849" w:rsidRPr="00102849" w:rsidRDefault="00102849" w:rsidP="00205918">
      <w:pPr>
        <w:pStyle w:val="ListParagraph"/>
        <w:numPr>
          <w:ilvl w:val="0"/>
          <w:numId w:val="9"/>
        </w:numPr>
        <w:rPr>
          <w:rFonts w:cs="Arial"/>
          <w:color w:val="000000"/>
        </w:rPr>
      </w:pPr>
      <w:r w:rsidRPr="00102849">
        <w:rPr>
          <w:szCs w:val="22"/>
        </w:rPr>
        <w:t xml:space="preserve">An additional </w:t>
      </w:r>
      <w:r w:rsidR="00835618">
        <w:rPr>
          <w:szCs w:val="22"/>
        </w:rPr>
        <w:t>four</w:t>
      </w:r>
      <w:r w:rsidRPr="00102849">
        <w:rPr>
          <w:szCs w:val="22"/>
        </w:rPr>
        <w:t xml:space="preserve"> areas of opportunity are at the associate’s degree level. Medical &amp; clinical laboratory technicians have the largest gap</w:t>
      </w:r>
      <w:r w:rsidR="00835618">
        <w:rPr>
          <w:szCs w:val="22"/>
        </w:rPr>
        <w:t xml:space="preserve"> (gap of 10),</w:t>
      </w:r>
      <w:r w:rsidRPr="00102849">
        <w:rPr>
          <w:szCs w:val="22"/>
        </w:rPr>
        <w:t xml:space="preserve"> but pay only $16.93 an hour. </w:t>
      </w:r>
      <w:r w:rsidR="00835618">
        <w:rPr>
          <w:szCs w:val="22"/>
        </w:rPr>
        <w:t>Other</w:t>
      </w:r>
      <w:r w:rsidRPr="00102849">
        <w:rPr>
          <w:szCs w:val="22"/>
        </w:rPr>
        <w:t xml:space="preserve"> healthcare related occupation</w:t>
      </w:r>
      <w:r w:rsidR="00835618">
        <w:rPr>
          <w:szCs w:val="22"/>
        </w:rPr>
        <w:t>s</w:t>
      </w:r>
      <w:r w:rsidRPr="00102849">
        <w:rPr>
          <w:szCs w:val="22"/>
        </w:rPr>
        <w:t>, diagnostic medical sonographers</w:t>
      </w:r>
      <w:r w:rsidR="00835618">
        <w:rPr>
          <w:szCs w:val="22"/>
        </w:rPr>
        <w:t xml:space="preserve"> and medical equipment repairers</w:t>
      </w:r>
      <w:r w:rsidRPr="00102849">
        <w:rPr>
          <w:szCs w:val="22"/>
        </w:rPr>
        <w:t>, ha</w:t>
      </w:r>
      <w:r w:rsidR="00835618">
        <w:rPr>
          <w:szCs w:val="22"/>
        </w:rPr>
        <w:t>ve</w:t>
      </w:r>
      <w:r w:rsidRPr="00102849">
        <w:rPr>
          <w:szCs w:val="22"/>
        </w:rPr>
        <w:t xml:space="preserve"> small gap</w:t>
      </w:r>
      <w:r w:rsidR="00835618">
        <w:rPr>
          <w:szCs w:val="22"/>
        </w:rPr>
        <w:t>s</w:t>
      </w:r>
      <w:r w:rsidRPr="00102849">
        <w:rPr>
          <w:szCs w:val="22"/>
        </w:rPr>
        <w:t xml:space="preserve"> but high wages (gap of 8</w:t>
      </w:r>
      <w:r w:rsidR="00835618">
        <w:rPr>
          <w:szCs w:val="22"/>
        </w:rPr>
        <w:t xml:space="preserve"> each</w:t>
      </w:r>
      <w:r w:rsidRPr="00102849">
        <w:rPr>
          <w:szCs w:val="22"/>
        </w:rPr>
        <w:t xml:space="preserve">; median hourly earnings </w:t>
      </w:r>
      <w:r w:rsidR="00835618">
        <w:rPr>
          <w:szCs w:val="22"/>
        </w:rPr>
        <w:t xml:space="preserve">over </w:t>
      </w:r>
      <w:r w:rsidRPr="00102849">
        <w:rPr>
          <w:szCs w:val="22"/>
        </w:rPr>
        <w:t>$</w:t>
      </w:r>
      <w:r w:rsidR="00835618">
        <w:rPr>
          <w:szCs w:val="22"/>
        </w:rPr>
        <w:t>20 an hour</w:t>
      </w:r>
      <w:r w:rsidRPr="00102849">
        <w:rPr>
          <w:szCs w:val="22"/>
        </w:rPr>
        <w:t>).</w:t>
      </w:r>
    </w:p>
    <w:sdt>
      <w:sdtPr>
        <w:rPr>
          <w:rFonts w:ascii="Garamond" w:hAnsi="Garamond" w:cs="Times New Roman"/>
          <w:b w:val="0"/>
          <w:bCs w:val="0"/>
          <w:kern w:val="0"/>
          <w:sz w:val="24"/>
          <w:szCs w:val="24"/>
          <w:lang w:eastAsia="en-US"/>
        </w:rPr>
        <w:id w:val="2085333287"/>
        <w:docPartObj>
          <w:docPartGallery w:val="Table of Contents"/>
          <w:docPartUnique/>
        </w:docPartObj>
      </w:sdtPr>
      <w:sdtEndPr>
        <w:rPr>
          <w:noProof/>
        </w:rPr>
      </w:sdtEndPr>
      <w:sdtContent>
        <w:p w14:paraId="574E0F16" w14:textId="16585E7E" w:rsidR="00452DE2" w:rsidRDefault="00452DE2">
          <w:pPr>
            <w:pStyle w:val="TOCHeading"/>
          </w:pPr>
          <w:r>
            <w:t>Contents</w:t>
          </w:r>
        </w:p>
        <w:p w14:paraId="20D2F172" w14:textId="77777777" w:rsidR="00792B9A" w:rsidRDefault="00452DE2">
          <w:pPr>
            <w:pStyle w:val="TOC1"/>
            <w:tabs>
              <w:tab w:val="right" w:leader="dot" w:pos="9350"/>
            </w:tabs>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428785401" w:history="1">
            <w:r w:rsidR="00792B9A" w:rsidRPr="008C4ED1">
              <w:rPr>
                <w:rStyle w:val="Hyperlink"/>
                <w:noProof/>
              </w:rPr>
              <w:t>Executive Summary</w:t>
            </w:r>
            <w:r w:rsidR="00792B9A">
              <w:rPr>
                <w:noProof/>
                <w:webHidden/>
              </w:rPr>
              <w:tab/>
            </w:r>
            <w:r w:rsidR="00792B9A">
              <w:rPr>
                <w:noProof/>
                <w:webHidden/>
              </w:rPr>
              <w:fldChar w:fldCharType="begin"/>
            </w:r>
            <w:r w:rsidR="00792B9A">
              <w:rPr>
                <w:noProof/>
                <w:webHidden/>
              </w:rPr>
              <w:instrText xml:space="preserve"> PAGEREF _Toc428785401 \h </w:instrText>
            </w:r>
            <w:r w:rsidR="00792B9A">
              <w:rPr>
                <w:noProof/>
                <w:webHidden/>
              </w:rPr>
            </w:r>
            <w:r w:rsidR="00792B9A">
              <w:rPr>
                <w:noProof/>
                <w:webHidden/>
              </w:rPr>
              <w:fldChar w:fldCharType="separate"/>
            </w:r>
            <w:r w:rsidR="00792B9A">
              <w:rPr>
                <w:noProof/>
                <w:webHidden/>
              </w:rPr>
              <w:t>2</w:t>
            </w:r>
            <w:r w:rsidR="00792B9A">
              <w:rPr>
                <w:noProof/>
                <w:webHidden/>
              </w:rPr>
              <w:fldChar w:fldCharType="end"/>
            </w:r>
          </w:hyperlink>
        </w:p>
        <w:p w14:paraId="57856A92"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02" w:history="1">
            <w:r w:rsidR="00792B9A" w:rsidRPr="008C4ED1">
              <w:rPr>
                <w:rStyle w:val="Hyperlink"/>
                <w:noProof/>
              </w:rPr>
              <w:t>Overview of Regional Economy</w:t>
            </w:r>
            <w:r w:rsidR="00792B9A">
              <w:rPr>
                <w:noProof/>
                <w:webHidden/>
              </w:rPr>
              <w:tab/>
            </w:r>
            <w:r w:rsidR="00792B9A">
              <w:rPr>
                <w:noProof/>
                <w:webHidden/>
              </w:rPr>
              <w:fldChar w:fldCharType="begin"/>
            </w:r>
            <w:r w:rsidR="00792B9A">
              <w:rPr>
                <w:noProof/>
                <w:webHidden/>
              </w:rPr>
              <w:instrText xml:space="preserve"> PAGEREF _Toc428785402 \h </w:instrText>
            </w:r>
            <w:r w:rsidR="00792B9A">
              <w:rPr>
                <w:noProof/>
                <w:webHidden/>
              </w:rPr>
            </w:r>
            <w:r w:rsidR="00792B9A">
              <w:rPr>
                <w:noProof/>
                <w:webHidden/>
              </w:rPr>
              <w:fldChar w:fldCharType="separate"/>
            </w:r>
            <w:r w:rsidR="00792B9A">
              <w:rPr>
                <w:noProof/>
                <w:webHidden/>
              </w:rPr>
              <w:t>2</w:t>
            </w:r>
            <w:r w:rsidR="00792B9A">
              <w:rPr>
                <w:noProof/>
                <w:webHidden/>
              </w:rPr>
              <w:fldChar w:fldCharType="end"/>
            </w:r>
          </w:hyperlink>
        </w:p>
        <w:p w14:paraId="345639CF"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03" w:history="1">
            <w:r w:rsidR="00792B9A" w:rsidRPr="008C4ED1">
              <w:rPr>
                <w:rStyle w:val="Hyperlink"/>
                <w:noProof/>
              </w:rPr>
              <w:t>Program Gap Analysis</w:t>
            </w:r>
            <w:r w:rsidR="00792B9A">
              <w:rPr>
                <w:noProof/>
                <w:webHidden/>
              </w:rPr>
              <w:tab/>
            </w:r>
            <w:r w:rsidR="00792B9A">
              <w:rPr>
                <w:noProof/>
                <w:webHidden/>
              </w:rPr>
              <w:fldChar w:fldCharType="begin"/>
            </w:r>
            <w:r w:rsidR="00792B9A">
              <w:rPr>
                <w:noProof/>
                <w:webHidden/>
              </w:rPr>
              <w:instrText xml:space="preserve"> PAGEREF _Toc428785403 \h </w:instrText>
            </w:r>
            <w:r w:rsidR="00792B9A">
              <w:rPr>
                <w:noProof/>
                <w:webHidden/>
              </w:rPr>
            </w:r>
            <w:r w:rsidR="00792B9A">
              <w:rPr>
                <w:noProof/>
                <w:webHidden/>
              </w:rPr>
              <w:fldChar w:fldCharType="separate"/>
            </w:r>
            <w:r w:rsidR="00792B9A">
              <w:rPr>
                <w:noProof/>
                <w:webHidden/>
              </w:rPr>
              <w:t>3</w:t>
            </w:r>
            <w:r w:rsidR="00792B9A">
              <w:rPr>
                <w:noProof/>
                <w:webHidden/>
              </w:rPr>
              <w:fldChar w:fldCharType="end"/>
            </w:r>
          </w:hyperlink>
        </w:p>
        <w:p w14:paraId="6AF47AB6" w14:textId="77777777" w:rsidR="00792B9A" w:rsidRDefault="007C7E49">
          <w:pPr>
            <w:pStyle w:val="TOC1"/>
            <w:tabs>
              <w:tab w:val="right" w:leader="dot" w:pos="9350"/>
            </w:tabs>
            <w:rPr>
              <w:rFonts w:asciiTheme="minorHAnsi" w:eastAsiaTheme="minorEastAsia" w:hAnsiTheme="minorHAnsi" w:cstheme="minorBidi"/>
              <w:noProof/>
              <w:sz w:val="22"/>
              <w:szCs w:val="22"/>
              <w:lang w:eastAsia="ja-JP"/>
            </w:rPr>
          </w:pPr>
          <w:hyperlink w:anchor="_Toc428785404" w:history="1">
            <w:r w:rsidR="00792B9A" w:rsidRPr="008C4ED1">
              <w:rPr>
                <w:rStyle w:val="Hyperlink"/>
                <w:noProof/>
              </w:rPr>
              <w:t>Introduction</w:t>
            </w:r>
            <w:r w:rsidR="00792B9A">
              <w:rPr>
                <w:noProof/>
                <w:webHidden/>
              </w:rPr>
              <w:tab/>
            </w:r>
            <w:r w:rsidR="00792B9A">
              <w:rPr>
                <w:noProof/>
                <w:webHidden/>
              </w:rPr>
              <w:fldChar w:fldCharType="begin"/>
            </w:r>
            <w:r w:rsidR="00792B9A">
              <w:rPr>
                <w:noProof/>
                <w:webHidden/>
              </w:rPr>
              <w:instrText xml:space="preserve"> PAGEREF _Toc428785404 \h </w:instrText>
            </w:r>
            <w:r w:rsidR="00792B9A">
              <w:rPr>
                <w:noProof/>
                <w:webHidden/>
              </w:rPr>
            </w:r>
            <w:r w:rsidR="00792B9A">
              <w:rPr>
                <w:noProof/>
                <w:webHidden/>
              </w:rPr>
              <w:fldChar w:fldCharType="separate"/>
            </w:r>
            <w:r w:rsidR="00792B9A">
              <w:rPr>
                <w:noProof/>
                <w:webHidden/>
              </w:rPr>
              <w:t>6</w:t>
            </w:r>
            <w:r w:rsidR="00792B9A">
              <w:rPr>
                <w:noProof/>
                <w:webHidden/>
              </w:rPr>
              <w:fldChar w:fldCharType="end"/>
            </w:r>
          </w:hyperlink>
        </w:p>
        <w:p w14:paraId="40148104" w14:textId="77777777" w:rsidR="00792B9A" w:rsidRDefault="007C7E49">
          <w:pPr>
            <w:pStyle w:val="TOC1"/>
            <w:tabs>
              <w:tab w:val="right" w:leader="dot" w:pos="9350"/>
            </w:tabs>
            <w:rPr>
              <w:rFonts w:asciiTheme="minorHAnsi" w:eastAsiaTheme="minorEastAsia" w:hAnsiTheme="minorHAnsi" w:cstheme="minorBidi"/>
              <w:noProof/>
              <w:sz w:val="22"/>
              <w:szCs w:val="22"/>
              <w:lang w:eastAsia="ja-JP"/>
            </w:rPr>
          </w:pPr>
          <w:hyperlink w:anchor="_Toc428785405" w:history="1">
            <w:r w:rsidR="00792B9A" w:rsidRPr="008C4ED1">
              <w:rPr>
                <w:rStyle w:val="Hyperlink"/>
                <w:noProof/>
              </w:rPr>
              <w:t>Chapter 1: Overview of the Economy</w:t>
            </w:r>
            <w:r w:rsidR="00792B9A">
              <w:rPr>
                <w:noProof/>
                <w:webHidden/>
              </w:rPr>
              <w:tab/>
            </w:r>
            <w:r w:rsidR="00792B9A">
              <w:rPr>
                <w:noProof/>
                <w:webHidden/>
              </w:rPr>
              <w:fldChar w:fldCharType="begin"/>
            </w:r>
            <w:r w:rsidR="00792B9A">
              <w:rPr>
                <w:noProof/>
                <w:webHidden/>
              </w:rPr>
              <w:instrText xml:space="preserve"> PAGEREF _Toc428785405 \h </w:instrText>
            </w:r>
            <w:r w:rsidR="00792B9A">
              <w:rPr>
                <w:noProof/>
                <w:webHidden/>
              </w:rPr>
            </w:r>
            <w:r w:rsidR="00792B9A">
              <w:rPr>
                <w:noProof/>
                <w:webHidden/>
              </w:rPr>
              <w:fldChar w:fldCharType="separate"/>
            </w:r>
            <w:r w:rsidR="00792B9A">
              <w:rPr>
                <w:noProof/>
                <w:webHidden/>
              </w:rPr>
              <w:t>7</w:t>
            </w:r>
            <w:r w:rsidR="00792B9A">
              <w:rPr>
                <w:noProof/>
                <w:webHidden/>
              </w:rPr>
              <w:fldChar w:fldCharType="end"/>
            </w:r>
          </w:hyperlink>
        </w:p>
        <w:p w14:paraId="6DA65BAE"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06" w:history="1">
            <w:r w:rsidR="00792B9A" w:rsidRPr="008C4ED1">
              <w:rPr>
                <w:rStyle w:val="Hyperlink"/>
                <w:noProof/>
              </w:rPr>
              <w:t>Jobs by Industry</w:t>
            </w:r>
            <w:r w:rsidR="00792B9A">
              <w:rPr>
                <w:noProof/>
                <w:webHidden/>
              </w:rPr>
              <w:tab/>
            </w:r>
            <w:r w:rsidR="00792B9A">
              <w:rPr>
                <w:noProof/>
                <w:webHidden/>
              </w:rPr>
              <w:fldChar w:fldCharType="begin"/>
            </w:r>
            <w:r w:rsidR="00792B9A">
              <w:rPr>
                <w:noProof/>
                <w:webHidden/>
              </w:rPr>
              <w:instrText xml:space="preserve"> PAGEREF _Toc428785406 \h </w:instrText>
            </w:r>
            <w:r w:rsidR="00792B9A">
              <w:rPr>
                <w:noProof/>
                <w:webHidden/>
              </w:rPr>
            </w:r>
            <w:r w:rsidR="00792B9A">
              <w:rPr>
                <w:noProof/>
                <w:webHidden/>
              </w:rPr>
              <w:fldChar w:fldCharType="separate"/>
            </w:r>
            <w:r w:rsidR="00792B9A">
              <w:rPr>
                <w:noProof/>
                <w:webHidden/>
              </w:rPr>
              <w:t>8</w:t>
            </w:r>
            <w:r w:rsidR="00792B9A">
              <w:rPr>
                <w:noProof/>
                <w:webHidden/>
              </w:rPr>
              <w:fldChar w:fldCharType="end"/>
            </w:r>
          </w:hyperlink>
        </w:p>
        <w:p w14:paraId="22180B43"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07" w:history="1">
            <w:r w:rsidR="00792B9A" w:rsidRPr="008C4ED1">
              <w:rPr>
                <w:rStyle w:val="Hyperlink"/>
                <w:noProof/>
              </w:rPr>
              <w:t>Jobs by Occupation</w:t>
            </w:r>
            <w:r w:rsidR="00792B9A">
              <w:rPr>
                <w:noProof/>
                <w:webHidden/>
              </w:rPr>
              <w:tab/>
            </w:r>
            <w:r w:rsidR="00792B9A">
              <w:rPr>
                <w:noProof/>
                <w:webHidden/>
              </w:rPr>
              <w:fldChar w:fldCharType="begin"/>
            </w:r>
            <w:r w:rsidR="00792B9A">
              <w:rPr>
                <w:noProof/>
                <w:webHidden/>
              </w:rPr>
              <w:instrText xml:space="preserve"> PAGEREF _Toc428785407 \h </w:instrText>
            </w:r>
            <w:r w:rsidR="00792B9A">
              <w:rPr>
                <w:noProof/>
                <w:webHidden/>
              </w:rPr>
            </w:r>
            <w:r w:rsidR="00792B9A">
              <w:rPr>
                <w:noProof/>
                <w:webHidden/>
              </w:rPr>
              <w:fldChar w:fldCharType="separate"/>
            </w:r>
            <w:r w:rsidR="00792B9A">
              <w:rPr>
                <w:noProof/>
                <w:webHidden/>
              </w:rPr>
              <w:t>11</w:t>
            </w:r>
            <w:r w:rsidR="00792B9A">
              <w:rPr>
                <w:noProof/>
                <w:webHidden/>
              </w:rPr>
              <w:fldChar w:fldCharType="end"/>
            </w:r>
          </w:hyperlink>
        </w:p>
        <w:p w14:paraId="0F74D625"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08" w:history="1">
            <w:r w:rsidR="00792B9A" w:rsidRPr="008C4ED1">
              <w:rPr>
                <w:rStyle w:val="Hyperlink"/>
                <w:noProof/>
              </w:rPr>
              <w:t>Commuting Patterns</w:t>
            </w:r>
            <w:r w:rsidR="00792B9A">
              <w:rPr>
                <w:noProof/>
                <w:webHidden/>
              </w:rPr>
              <w:tab/>
            </w:r>
            <w:r w:rsidR="00792B9A">
              <w:rPr>
                <w:noProof/>
                <w:webHidden/>
              </w:rPr>
              <w:fldChar w:fldCharType="begin"/>
            </w:r>
            <w:r w:rsidR="00792B9A">
              <w:rPr>
                <w:noProof/>
                <w:webHidden/>
              </w:rPr>
              <w:instrText xml:space="preserve"> PAGEREF _Toc428785408 \h </w:instrText>
            </w:r>
            <w:r w:rsidR="00792B9A">
              <w:rPr>
                <w:noProof/>
                <w:webHidden/>
              </w:rPr>
            </w:r>
            <w:r w:rsidR="00792B9A">
              <w:rPr>
                <w:noProof/>
                <w:webHidden/>
              </w:rPr>
              <w:fldChar w:fldCharType="separate"/>
            </w:r>
            <w:r w:rsidR="00792B9A">
              <w:rPr>
                <w:noProof/>
                <w:webHidden/>
              </w:rPr>
              <w:t>14</w:t>
            </w:r>
            <w:r w:rsidR="00792B9A">
              <w:rPr>
                <w:noProof/>
                <w:webHidden/>
              </w:rPr>
              <w:fldChar w:fldCharType="end"/>
            </w:r>
          </w:hyperlink>
        </w:p>
        <w:p w14:paraId="104803E4"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09" w:history="1">
            <w:r w:rsidR="00792B9A" w:rsidRPr="008C4ED1">
              <w:rPr>
                <w:rStyle w:val="Hyperlink"/>
                <w:noProof/>
              </w:rPr>
              <w:t>Unemployment</w:t>
            </w:r>
            <w:r w:rsidR="00792B9A">
              <w:rPr>
                <w:noProof/>
                <w:webHidden/>
              </w:rPr>
              <w:tab/>
            </w:r>
            <w:r w:rsidR="00792B9A">
              <w:rPr>
                <w:noProof/>
                <w:webHidden/>
              </w:rPr>
              <w:fldChar w:fldCharType="begin"/>
            </w:r>
            <w:r w:rsidR="00792B9A">
              <w:rPr>
                <w:noProof/>
                <w:webHidden/>
              </w:rPr>
              <w:instrText xml:space="preserve"> PAGEREF _Toc428785409 \h </w:instrText>
            </w:r>
            <w:r w:rsidR="00792B9A">
              <w:rPr>
                <w:noProof/>
                <w:webHidden/>
              </w:rPr>
            </w:r>
            <w:r w:rsidR="00792B9A">
              <w:rPr>
                <w:noProof/>
                <w:webHidden/>
              </w:rPr>
              <w:fldChar w:fldCharType="separate"/>
            </w:r>
            <w:r w:rsidR="00792B9A">
              <w:rPr>
                <w:noProof/>
                <w:webHidden/>
              </w:rPr>
              <w:t>17</w:t>
            </w:r>
            <w:r w:rsidR="00792B9A">
              <w:rPr>
                <w:noProof/>
                <w:webHidden/>
              </w:rPr>
              <w:fldChar w:fldCharType="end"/>
            </w:r>
          </w:hyperlink>
        </w:p>
        <w:p w14:paraId="35C9E904"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10" w:history="1">
            <w:r w:rsidR="00792B9A" w:rsidRPr="008C4ED1">
              <w:rPr>
                <w:rStyle w:val="Hyperlink"/>
                <w:noProof/>
              </w:rPr>
              <w:t>Educational Attainment</w:t>
            </w:r>
            <w:r w:rsidR="00792B9A">
              <w:rPr>
                <w:noProof/>
                <w:webHidden/>
              </w:rPr>
              <w:tab/>
            </w:r>
            <w:r w:rsidR="00792B9A">
              <w:rPr>
                <w:noProof/>
                <w:webHidden/>
              </w:rPr>
              <w:fldChar w:fldCharType="begin"/>
            </w:r>
            <w:r w:rsidR="00792B9A">
              <w:rPr>
                <w:noProof/>
                <w:webHidden/>
              </w:rPr>
              <w:instrText xml:space="preserve"> PAGEREF _Toc428785410 \h </w:instrText>
            </w:r>
            <w:r w:rsidR="00792B9A">
              <w:rPr>
                <w:noProof/>
                <w:webHidden/>
              </w:rPr>
            </w:r>
            <w:r w:rsidR="00792B9A">
              <w:rPr>
                <w:noProof/>
                <w:webHidden/>
              </w:rPr>
              <w:fldChar w:fldCharType="separate"/>
            </w:r>
            <w:r w:rsidR="00792B9A">
              <w:rPr>
                <w:noProof/>
                <w:webHidden/>
              </w:rPr>
              <w:t>22</w:t>
            </w:r>
            <w:r w:rsidR="00792B9A">
              <w:rPr>
                <w:noProof/>
                <w:webHidden/>
              </w:rPr>
              <w:fldChar w:fldCharType="end"/>
            </w:r>
          </w:hyperlink>
        </w:p>
        <w:p w14:paraId="1DFD1838" w14:textId="77777777" w:rsidR="00792B9A" w:rsidRDefault="007C7E49">
          <w:pPr>
            <w:pStyle w:val="TOC3"/>
            <w:tabs>
              <w:tab w:val="right" w:leader="dot" w:pos="9350"/>
            </w:tabs>
            <w:rPr>
              <w:rFonts w:asciiTheme="minorHAnsi" w:eastAsiaTheme="minorEastAsia" w:hAnsiTheme="minorHAnsi" w:cstheme="minorBidi"/>
              <w:noProof/>
              <w:sz w:val="22"/>
              <w:szCs w:val="22"/>
              <w:lang w:eastAsia="ja-JP"/>
            </w:rPr>
          </w:pPr>
          <w:hyperlink w:anchor="_Toc428785411" w:history="1">
            <w:r w:rsidR="00792B9A" w:rsidRPr="008C4ED1">
              <w:rPr>
                <w:rStyle w:val="Hyperlink"/>
                <w:rFonts w:eastAsiaTheme="majorEastAsia"/>
                <w:noProof/>
              </w:rPr>
              <w:t>Overall Educational Attainment</w:t>
            </w:r>
            <w:r w:rsidR="00792B9A">
              <w:rPr>
                <w:noProof/>
                <w:webHidden/>
              </w:rPr>
              <w:tab/>
            </w:r>
            <w:r w:rsidR="00792B9A">
              <w:rPr>
                <w:noProof/>
                <w:webHidden/>
              </w:rPr>
              <w:fldChar w:fldCharType="begin"/>
            </w:r>
            <w:r w:rsidR="00792B9A">
              <w:rPr>
                <w:noProof/>
                <w:webHidden/>
              </w:rPr>
              <w:instrText xml:space="preserve"> PAGEREF _Toc428785411 \h </w:instrText>
            </w:r>
            <w:r w:rsidR="00792B9A">
              <w:rPr>
                <w:noProof/>
                <w:webHidden/>
              </w:rPr>
            </w:r>
            <w:r w:rsidR="00792B9A">
              <w:rPr>
                <w:noProof/>
                <w:webHidden/>
              </w:rPr>
              <w:fldChar w:fldCharType="separate"/>
            </w:r>
            <w:r w:rsidR="00792B9A">
              <w:rPr>
                <w:noProof/>
                <w:webHidden/>
              </w:rPr>
              <w:t>22</w:t>
            </w:r>
            <w:r w:rsidR="00792B9A">
              <w:rPr>
                <w:noProof/>
                <w:webHidden/>
              </w:rPr>
              <w:fldChar w:fldCharType="end"/>
            </w:r>
          </w:hyperlink>
        </w:p>
        <w:p w14:paraId="1196E70D" w14:textId="77777777" w:rsidR="00792B9A" w:rsidRDefault="007C7E49">
          <w:pPr>
            <w:pStyle w:val="TOC3"/>
            <w:tabs>
              <w:tab w:val="right" w:leader="dot" w:pos="9350"/>
            </w:tabs>
            <w:rPr>
              <w:rFonts w:asciiTheme="minorHAnsi" w:eastAsiaTheme="minorEastAsia" w:hAnsiTheme="minorHAnsi" w:cstheme="minorBidi"/>
              <w:noProof/>
              <w:sz w:val="22"/>
              <w:szCs w:val="22"/>
              <w:lang w:eastAsia="ja-JP"/>
            </w:rPr>
          </w:pPr>
          <w:hyperlink w:anchor="_Toc428785412" w:history="1">
            <w:r w:rsidR="00792B9A" w:rsidRPr="008C4ED1">
              <w:rPr>
                <w:rStyle w:val="Hyperlink"/>
                <w:rFonts w:eastAsiaTheme="majorEastAsia"/>
                <w:noProof/>
              </w:rPr>
              <w:t>Educational Attainment by Gender</w:t>
            </w:r>
            <w:r w:rsidR="00792B9A">
              <w:rPr>
                <w:noProof/>
                <w:webHidden/>
              </w:rPr>
              <w:tab/>
            </w:r>
            <w:r w:rsidR="00792B9A">
              <w:rPr>
                <w:noProof/>
                <w:webHidden/>
              </w:rPr>
              <w:fldChar w:fldCharType="begin"/>
            </w:r>
            <w:r w:rsidR="00792B9A">
              <w:rPr>
                <w:noProof/>
                <w:webHidden/>
              </w:rPr>
              <w:instrText xml:space="preserve"> PAGEREF _Toc428785412 \h </w:instrText>
            </w:r>
            <w:r w:rsidR="00792B9A">
              <w:rPr>
                <w:noProof/>
                <w:webHidden/>
              </w:rPr>
            </w:r>
            <w:r w:rsidR="00792B9A">
              <w:rPr>
                <w:noProof/>
                <w:webHidden/>
              </w:rPr>
              <w:fldChar w:fldCharType="separate"/>
            </w:r>
            <w:r w:rsidR="00792B9A">
              <w:rPr>
                <w:noProof/>
                <w:webHidden/>
              </w:rPr>
              <w:t>23</w:t>
            </w:r>
            <w:r w:rsidR="00792B9A">
              <w:rPr>
                <w:noProof/>
                <w:webHidden/>
              </w:rPr>
              <w:fldChar w:fldCharType="end"/>
            </w:r>
          </w:hyperlink>
        </w:p>
        <w:p w14:paraId="652A94DE" w14:textId="77777777" w:rsidR="00792B9A" w:rsidRDefault="007C7E49">
          <w:pPr>
            <w:pStyle w:val="TOC3"/>
            <w:tabs>
              <w:tab w:val="right" w:leader="dot" w:pos="9350"/>
            </w:tabs>
            <w:rPr>
              <w:rFonts w:asciiTheme="minorHAnsi" w:eastAsiaTheme="minorEastAsia" w:hAnsiTheme="minorHAnsi" w:cstheme="minorBidi"/>
              <w:noProof/>
              <w:sz w:val="22"/>
              <w:szCs w:val="22"/>
              <w:lang w:eastAsia="ja-JP"/>
            </w:rPr>
          </w:pPr>
          <w:hyperlink w:anchor="_Toc428785413" w:history="1">
            <w:r w:rsidR="00792B9A" w:rsidRPr="008C4ED1">
              <w:rPr>
                <w:rStyle w:val="Hyperlink"/>
                <w:rFonts w:eastAsiaTheme="majorEastAsia"/>
                <w:noProof/>
              </w:rPr>
              <w:t>Educational Attainment by Ethnicity</w:t>
            </w:r>
            <w:r w:rsidR="00792B9A">
              <w:rPr>
                <w:noProof/>
                <w:webHidden/>
              </w:rPr>
              <w:tab/>
            </w:r>
            <w:r w:rsidR="00792B9A">
              <w:rPr>
                <w:noProof/>
                <w:webHidden/>
              </w:rPr>
              <w:fldChar w:fldCharType="begin"/>
            </w:r>
            <w:r w:rsidR="00792B9A">
              <w:rPr>
                <w:noProof/>
                <w:webHidden/>
              </w:rPr>
              <w:instrText xml:space="preserve"> PAGEREF _Toc428785413 \h </w:instrText>
            </w:r>
            <w:r w:rsidR="00792B9A">
              <w:rPr>
                <w:noProof/>
                <w:webHidden/>
              </w:rPr>
            </w:r>
            <w:r w:rsidR="00792B9A">
              <w:rPr>
                <w:noProof/>
                <w:webHidden/>
              </w:rPr>
              <w:fldChar w:fldCharType="separate"/>
            </w:r>
            <w:r w:rsidR="00792B9A">
              <w:rPr>
                <w:noProof/>
                <w:webHidden/>
              </w:rPr>
              <w:t>24</w:t>
            </w:r>
            <w:r w:rsidR="00792B9A">
              <w:rPr>
                <w:noProof/>
                <w:webHidden/>
              </w:rPr>
              <w:fldChar w:fldCharType="end"/>
            </w:r>
          </w:hyperlink>
        </w:p>
        <w:p w14:paraId="2D9DFCDD" w14:textId="77777777" w:rsidR="00792B9A" w:rsidRDefault="007C7E49">
          <w:pPr>
            <w:pStyle w:val="TOC1"/>
            <w:tabs>
              <w:tab w:val="right" w:leader="dot" w:pos="9350"/>
            </w:tabs>
            <w:rPr>
              <w:rFonts w:asciiTheme="minorHAnsi" w:eastAsiaTheme="minorEastAsia" w:hAnsiTheme="minorHAnsi" w:cstheme="minorBidi"/>
              <w:noProof/>
              <w:sz w:val="22"/>
              <w:szCs w:val="22"/>
              <w:lang w:eastAsia="ja-JP"/>
            </w:rPr>
          </w:pPr>
          <w:hyperlink w:anchor="_Toc428785414" w:history="1">
            <w:r w:rsidR="00792B9A" w:rsidRPr="008C4ED1">
              <w:rPr>
                <w:rStyle w:val="Hyperlink"/>
                <w:noProof/>
              </w:rPr>
              <w:t>Chapter 2: Program Gap Analysis</w:t>
            </w:r>
            <w:r w:rsidR="00792B9A">
              <w:rPr>
                <w:noProof/>
                <w:webHidden/>
              </w:rPr>
              <w:tab/>
            </w:r>
            <w:r w:rsidR="00792B9A">
              <w:rPr>
                <w:noProof/>
                <w:webHidden/>
              </w:rPr>
              <w:fldChar w:fldCharType="begin"/>
            </w:r>
            <w:r w:rsidR="00792B9A">
              <w:rPr>
                <w:noProof/>
                <w:webHidden/>
              </w:rPr>
              <w:instrText xml:space="preserve"> PAGEREF _Toc428785414 \h </w:instrText>
            </w:r>
            <w:r w:rsidR="00792B9A">
              <w:rPr>
                <w:noProof/>
                <w:webHidden/>
              </w:rPr>
            </w:r>
            <w:r w:rsidR="00792B9A">
              <w:rPr>
                <w:noProof/>
                <w:webHidden/>
              </w:rPr>
              <w:fldChar w:fldCharType="separate"/>
            </w:r>
            <w:r w:rsidR="00792B9A">
              <w:rPr>
                <w:noProof/>
                <w:webHidden/>
              </w:rPr>
              <w:t>26</w:t>
            </w:r>
            <w:r w:rsidR="00792B9A">
              <w:rPr>
                <w:noProof/>
                <w:webHidden/>
              </w:rPr>
              <w:fldChar w:fldCharType="end"/>
            </w:r>
          </w:hyperlink>
        </w:p>
        <w:p w14:paraId="20FA7990"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15" w:history="1">
            <w:r w:rsidR="00792B9A" w:rsidRPr="008C4ED1">
              <w:rPr>
                <w:rStyle w:val="Hyperlink"/>
                <w:noProof/>
              </w:rPr>
              <w:t>Interpreting Gap/Surplus Analysis Results</w:t>
            </w:r>
            <w:r w:rsidR="00792B9A">
              <w:rPr>
                <w:noProof/>
                <w:webHidden/>
              </w:rPr>
              <w:tab/>
            </w:r>
            <w:r w:rsidR="00792B9A">
              <w:rPr>
                <w:noProof/>
                <w:webHidden/>
              </w:rPr>
              <w:fldChar w:fldCharType="begin"/>
            </w:r>
            <w:r w:rsidR="00792B9A">
              <w:rPr>
                <w:noProof/>
                <w:webHidden/>
              </w:rPr>
              <w:instrText xml:space="preserve"> PAGEREF _Toc428785415 \h </w:instrText>
            </w:r>
            <w:r w:rsidR="00792B9A">
              <w:rPr>
                <w:noProof/>
                <w:webHidden/>
              </w:rPr>
            </w:r>
            <w:r w:rsidR="00792B9A">
              <w:rPr>
                <w:noProof/>
                <w:webHidden/>
              </w:rPr>
              <w:fldChar w:fldCharType="separate"/>
            </w:r>
            <w:r w:rsidR="00792B9A">
              <w:rPr>
                <w:noProof/>
                <w:webHidden/>
              </w:rPr>
              <w:t>26</w:t>
            </w:r>
            <w:r w:rsidR="00792B9A">
              <w:rPr>
                <w:noProof/>
                <w:webHidden/>
              </w:rPr>
              <w:fldChar w:fldCharType="end"/>
            </w:r>
          </w:hyperlink>
        </w:p>
        <w:p w14:paraId="44164388"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16" w:history="1">
            <w:r w:rsidR="00792B9A" w:rsidRPr="008C4ED1">
              <w:rPr>
                <w:rStyle w:val="Hyperlink"/>
                <w:noProof/>
              </w:rPr>
              <w:t>Postsecondary Certificate Level Gap Analysis</w:t>
            </w:r>
            <w:r w:rsidR="00792B9A">
              <w:rPr>
                <w:noProof/>
                <w:webHidden/>
              </w:rPr>
              <w:tab/>
            </w:r>
            <w:r w:rsidR="00792B9A">
              <w:rPr>
                <w:noProof/>
                <w:webHidden/>
              </w:rPr>
              <w:fldChar w:fldCharType="begin"/>
            </w:r>
            <w:r w:rsidR="00792B9A">
              <w:rPr>
                <w:noProof/>
                <w:webHidden/>
              </w:rPr>
              <w:instrText xml:space="preserve"> PAGEREF _Toc428785416 \h </w:instrText>
            </w:r>
            <w:r w:rsidR="00792B9A">
              <w:rPr>
                <w:noProof/>
                <w:webHidden/>
              </w:rPr>
            </w:r>
            <w:r w:rsidR="00792B9A">
              <w:rPr>
                <w:noProof/>
                <w:webHidden/>
              </w:rPr>
              <w:fldChar w:fldCharType="separate"/>
            </w:r>
            <w:r w:rsidR="00792B9A">
              <w:rPr>
                <w:noProof/>
                <w:webHidden/>
              </w:rPr>
              <w:t>28</w:t>
            </w:r>
            <w:r w:rsidR="00792B9A">
              <w:rPr>
                <w:noProof/>
                <w:webHidden/>
              </w:rPr>
              <w:fldChar w:fldCharType="end"/>
            </w:r>
          </w:hyperlink>
        </w:p>
        <w:p w14:paraId="2529976B"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17" w:history="1">
            <w:r w:rsidR="00792B9A" w:rsidRPr="008C4ED1">
              <w:rPr>
                <w:rStyle w:val="Hyperlink"/>
                <w:noProof/>
              </w:rPr>
              <w:t>Associate’s Level Gap Analysis</w:t>
            </w:r>
            <w:r w:rsidR="00792B9A">
              <w:rPr>
                <w:noProof/>
                <w:webHidden/>
              </w:rPr>
              <w:tab/>
            </w:r>
            <w:r w:rsidR="00792B9A">
              <w:rPr>
                <w:noProof/>
                <w:webHidden/>
              </w:rPr>
              <w:fldChar w:fldCharType="begin"/>
            </w:r>
            <w:r w:rsidR="00792B9A">
              <w:rPr>
                <w:noProof/>
                <w:webHidden/>
              </w:rPr>
              <w:instrText xml:space="preserve"> PAGEREF _Toc428785417 \h </w:instrText>
            </w:r>
            <w:r w:rsidR="00792B9A">
              <w:rPr>
                <w:noProof/>
                <w:webHidden/>
              </w:rPr>
            </w:r>
            <w:r w:rsidR="00792B9A">
              <w:rPr>
                <w:noProof/>
                <w:webHidden/>
              </w:rPr>
              <w:fldChar w:fldCharType="separate"/>
            </w:r>
            <w:r w:rsidR="00792B9A">
              <w:rPr>
                <w:noProof/>
                <w:webHidden/>
              </w:rPr>
              <w:t>31</w:t>
            </w:r>
            <w:r w:rsidR="00792B9A">
              <w:rPr>
                <w:noProof/>
                <w:webHidden/>
              </w:rPr>
              <w:fldChar w:fldCharType="end"/>
            </w:r>
          </w:hyperlink>
        </w:p>
        <w:p w14:paraId="47A2A3A3"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18" w:history="1">
            <w:r w:rsidR="00792B9A" w:rsidRPr="008C4ED1">
              <w:rPr>
                <w:rStyle w:val="Hyperlink"/>
                <w:noProof/>
              </w:rPr>
              <w:t>Transfer Track (Liberal Arts) Students</w:t>
            </w:r>
            <w:r w:rsidR="00792B9A">
              <w:rPr>
                <w:noProof/>
                <w:webHidden/>
              </w:rPr>
              <w:tab/>
            </w:r>
            <w:r w:rsidR="00792B9A">
              <w:rPr>
                <w:noProof/>
                <w:webHidden/>
              </w:rPr>
              <w:fldChar w:fldCharType="begin"/>
            </w:r>
            <w:r w:rsidR="00792B9A">
              <w:rPr>
                <w:noProof/>
                <w:webHidden/>
              </w:rPr>
              <w:instrText xml:space="preserve"> PAGEREF _Toc428785418 \h </w:instrText>
            </w:r>
            <w:r w:rsidR="00792B9A">
              <w:rPr>
                <w:noProof/>
                <w:webHidden/>
              </w:rPr>
            </w:r>
            <w:r w:rsidR="00792B9A">
              <w:rPr>
                <w:noProof/>
                <w:webHidden/>
              </w:rPr>
              <w:fldChar w:fldCharType="separate"/>
            </w:r>
            <w:r w:rsidR="00792B9A">
              <w:rPr>
                <w:noProof/>
                <w:webHidden/>
              </w:rPr>
              <w:t>33</w:t>
            </w:r>
            <w:r w:rsidR="00792B9A">
              <w:rPr>
                <w:noProof/>
                <w:webHidden/>
              </w:rPr>
              <w:fldChar w:fldCharType="end"/>
            </w:r>
          </w:hyperlink>
        </w:p>
        <w:p w14:paraId="456C6DCB"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19" w:history="1">
            <w:r w:rsidR="00792B9A" w:rsidRPr="008C4ED1">
              <w:rPr>
                <w:rStyle w:val="Hyperlink"/>
                <w:noProof/>
              </w:rPr>
              <w:t>Potential New Programs</w:t>
            </w:r>
            <w:r w:rsidR="00792B9A">
              <w:rPr>
                <w:noProof/>
                <w:webHidden/>
              </w:rPr>
              <w:tab/>
            </w:r>
            <w:r w:rsidR="00792B9A">
              <w:rPr>
                <w:noProof/>
                <w:webHidden/>
              </w:rPr>
              <w:fldChar w:fldCharType="begin"/>
            </w:r>
            <w:r w:rsidR="00792B9A">
              <w:rPr>
                <w:noProof/>
                <w:webHidden/>
              </w:rPr>
              <w:instrText xml:space="preserve"> PAGEREF _Toc428785419 \h </w:instrText>
            </w:r>
            <w:r w:rsidR="00792B9A">
              <w:rPr>
                <w:noProof/>
                <w:webHidden/>
              </w:rPr>
            </w:r>
            <w:r w:rsidR="00792B9A">
              <w:rPr>
                <w:noProof/>
                <w:webHidden/>
              </w:rPr>
              <w:fldChar w:fldCharType="separate"/>
            </w:r>
            <w:r w:rsidR="00792B9A">
              <w:rPr>
                <w:noProof/>
                <w:webHidden/>
              </w:rPr>
              <w:t>33</w:t>
            </w:r>
            <w:r w:rsidR="00792B9A">
              <w:rPr>
                <w:noProof/>
                <w:webHidden/>
              </w:rPr>
              <w:fldChar w:fldCharType="end"/>
            </w:r>
          </w:hyperlink>
        </w:p>
        <w:p w14:paraId="6BBCECD2"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20" w:history="1">
            <w:r w:rsidR="00792B9A" w:rsidRPr="008C4ED1">
              <w:rPr>
                <w:rStyle w:val="Hyperlink"/>
                <w:noProof/>
              </w:rPr>
              <w:t>Conclusion</w:t>
            </w:r>
            <w:r w:rsidR="00792B9A">
              <w:rPr>
                <w:noProof/>
                <w:webHidden/>
              </w:rPr>
              <w:tab/>
            </w:r>
            <w:r w:rsidR="00792B9A">
              <w:rPr>
                <w:noProof/>
                <w:webHidden/>
              </w:rPr>
              <w:fldChar w:fldCharType="begin"/>
            </w:r>
            <w:r w:rsidR="00792B9A">
              <w:rPr>
                <w:noProof/>
                <w:webHidden/>
              </w:rPr>
              <w:instrText xml:space="preserve"> PAGEREF _Toc428785420 \h </w:instrText>
            </w:r>
            <w:r w:rsidR="00792B9A">
              <w:rPr>
                <w:noProof/>
                <w:webHidden/>
              </w:rPr>
            </w:r>
            <w:r w:rsidR="00792B9A">
              <w:rPr>
                <w:noProof/>
                <w:webHidden/>
              </w:rPr>
              <w:fldChar w:fldCharType="separate"/>
            </w:r>
            <w:r w:rsidR="00792B9A">
              <w:rPr>
                <w:noProof/>
                <w:webHidden/>
              </w:rPr>
              <w:t>35</w:t>
            </w:r>
            <w:r w:rsidR="00792B9A">
              <w:rPr>
                <w:noProof/>
                <w:webHidden/>
              </w:rPr>
              <w:fldChar w:fldCharType="end"/>
            </w:r>
          </w:hyperlink>
        </w:p>
        <w:p w14:paraId="49D61998" w14:textId="77777777" w:rsidR="00792B9A" w:rsidRDefault="007C7E49">
          <w:pPr>
            <w:pStyle w:val="TOC1"/>
            <w:tabs>
              <w:tab w:val="right" w:leader="dot" w:pos="9350"/>
            </w:tabs>
            <w:rPr>
              <w:rFonts w:asciiTheme="minorHAnsi" w:eastAsiaTheme="minorEastAsia" w:hAnsiTheme="minorHAnsi" w:cstheme="minorBidi"/>
              <w:noProof/>
              <w:sz w:val="22"/>
              <w:szCs w:val="22"/>
              <w:lang w:eastAsia="ja-JP"/>
            </w:rPr>
          </w:pPr>
          <w:hyperlink w:anchor="_Toc428785421" w:history="1">
            <w:r w:rsidR="00792B9A" w:rsidRPr="008C4ED1">
              <w:rPr>
                <w:rStyle w:val="Hyperlink"/>
                <w:noProof/>
              </w:rPr>
              <w:t>Appendix 1: About EMSI Data</w:t>
            </w:r>
            <w:r w:rsidR="00792B9A">
              <w:rPr>
                <w:noProof/>
                <w:webHidden/>
              </w:rPr>
              <w:tab/>
            </w:r>
            <w:r w:rsidR="00792B9A">
              <w:rPr>
                <w:noProof/>
                <w:webHidden/>
              </w:rPr>
              <w:fldChar w:fldCharType="begin"/>
            </w:r>
            <w:r w:rsidR="00792B9A">
              <w:rPr>
                <w:noProof/>
                <w:webHidden/>
              </w:rPr>
              <w:instrText xml:space="preserve"> PAGEREF _Toc428785421 \h </w:instrText>
            </w:r>
            <w:r w:rsidR="00792B9A">
              <w:rPr>
                <w:noProof/>
                <w:webHidden/>
              </w:rPr>
            </w:r>
            <w:r w:rsidR="00792B9A">
              <w:rPr>
                <w:noProof/>
                <w:webHidden/>
              </w:rPr>
              <w:fldChar w:fldCharType="separate"/>
            </w:r>
            <w:r w:rsidR="00792B9A">
              <w:rPr>
                <w:noProof/>
                <w:webHidden/>
              </w:rPr>
              <w:t>36</w:t>
            </w:r>
            <w:r w:rsidR="00792B9A">
              <w:rPr>
                <w:noProof/>
                <w:webHidden/>
              </w:rPr>
              <w:fldChar w:fldCharType="end"/>
            </w:r>
          </w:hyperlink>
        </w:p>
        <w:p w14:paraId="35A0A5E0" w14:textId="77777777" w:rsidR="00792B9A" w:rsidRDefault="007C7E49">
          <w:pPr>
            <w:pStyle w:val="TOC1"/>
            <w:tabs>
              <w:tab w:val="right" w:leader="dot" w:pos="9350"/>
            </w:tabs>
            <w:rPr>
              <w:rFonts w:asciiTheme="minorHAnsi" w:eastAsiaTheme="minorEastAsia" w:hAnsiTheme="minorHAnsi" w:cstheme="minorBidi"/>
              <w:noProof/>
              <w:sz w:val="22"/>
              <w:szCs w:val="22"/>
              <w:lang w:eastAsia="ja-JP"/>
            </w:rPr>
          </w:pPr>
          <w:hyperlink w:anchor="_Toc428785422" w:history="1">
            <w:r w:rsidR="00792B9A" w:rsidRPr="008C4ED1">
              <w:rPr>
                <w:rStyle w:val="Hyperlink"/>
                <w:noProof/>
              </w:rPr>
              <w:t>Appendix 2: Program-to-Occupation Mapping</w:t>
            </w:r>
            <w:r w:rsidR="00792B9A">
              <w:rPr>
                <w:noProof/>
                <w:webHidden/>
              </w:rPr>
              <w:tab/>
            </w:r>
            <w:r w:rsidR="00792B9A">
              <w:rPr>
                <w:noProof/>
                <w:webHidden/>
              </w:rPr>
              <w:fldChar w:fldCharType="begin"/>
            </w:r>
            <w:r w:rsidR="00792B9A">
              <w:rPr>
                <w:noProof/>
                <w:webHidden/>
              </w:rPr>
              <w:instrText xml:space="preserve"> PAGEREF _Toc428785422 \h </w:instrText>
            </w:r>
            <w:r w:rsidR="00792B9A">
              <w:rPr>
                <w:noProof/>
                <w:webHidden/>
              </w:rPr>
            </w:r>
            <w:r w:rsidR="00792B9A">
              <w:rPr>
                <w:noProof/>
                <w:webHidden/>
              </w:rPr>
              <w:fldChar w:fldCharType="separate"/>
            </w:r>
            <w:r w:rsidR="00792B9A">
              <w:rPr>
                <w:noProof/>
                <w:webHidden/>
              </w:rPr>
              <w:t>37</w:t>
            </w:r>
            <w:r w:rsidR="00792B9A">
              <w:rPr>
                <w:noProof/>
                <w:webHidden/>
              </w:rPr>
              <w:fldChar w:fldCharType="end"/>
            </w:r>
          </w:hyperlink>
        </w:p>
        <w:p w14:paraId="6F084B0E" w14:textId="77777777" w:rsidR="00792B9A" w:rsidRDefault="007C7E49">
          <w:pPr>
            <w:pStyle w:val="TOC1"/>
            <w:tabs>
              <w:tab w:val="right" w:leader="dot" w:pos="9350"/>
            </w:tabs>
            <w:rPr>
              <w:rFonts w:asciiTheme="minorHAnsi" w:eastAsiaTheme="minorEastAsia" w:hAnsiTheme="minorHAnsi" w:cstheme="minorBidi"/>
              <w:noProof/>
              <w:sz w:val="22"/>
              <w:szCs w:val="22"/>
              <w:lang w:eastAsia="ja-JP"/>
            </w:rPr>
          </w:pPr>
          <w:hyperlink w:anchor="_Toc428785423" w:history="1">
            <w:r w:rsidR="00792B9A" w:rsidRPr="008C4ED1">
              <w:rPr>
                <w:rStyle w:val="Hyperlink"/>
                <w:noProof/>
              </w:rPr>
              <w:t>Appendix 3: Program Gap Analysis Methodology</w:t>
            </w:r>
            <w:r w:rsidR="00792B9A">
              <w:rPr>
                <w:noProof/>
                <w:webHidden/>
              </w:rPr>
              <w:tab/>
            </w:r>
            <w:r w:rsidR="00792B9A">
              <w:rPr>
                <w:noProof/>
                <w:webHidden/>
              </w:rPr>
              <w:fldChar w:fldCharType="begin"/>
            </w:r>
            <w:r w:rsidR="00792B9A">
              <w:rPr>
                <w:noProof/>
                <w:webHidden/>
              </w:rPr>
              <w:instrText xml:space="preserve"> PAGEREF _Toc428785423 \h </w:instrText>
            </w:r>
            <w:r w:rsidR="00792B9A">
              <w:rPr>
                <w:noProof/>
                <w:webHidden/>
              </w:rPr>
            </w:r>
            <w:r w:rsidR="00792B9A">
              <w:rPr>
                <w:noProof/>
                <w:webHidden/>
              </w:rPr>
              <w:fldChar w:fldCharType="separate"/>
            </w:r>
            <w:r w:rsidR="00792B9A">
              <w:rPr>
                <w:noProof/>
                <w:webHidden/>
              </w:rPr>
              <w:t>47</w:t>
            </w:r>
            <w:r w:rsidR="00792B9A">
              <w:rPr>
                <w:noProof/>
                <w:webHidden/>
              </w:rPr>
              <w:fldChar w:fldCharType="end"/>
            </w:r>
          </w:hyperlink>
        </w:p>
        <w:p w14:paraId="2C343945"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24" w:history="1">
            <w:r w:rsidR="00792B9A" w:rsidRPr="008C4ED1">
              <w:rPr>
                <w:rStyle w:val="Hyperlink"/>
                <w:noProof/>
              </w:rPr>
              <w:t>Supply and Demand Model</w:t>
            </w:r>
            <w:r w:rsidR="00792B9A">
              <w:rPr>
                <w:noProof/>
                <w:webHidden/>
              </w:rPr>
              <w:tab/>
            </w:r>
            <w:r w:rsidR="00792B9A">
              <w:rPr>
                <w:noProof/>
                <w:webHidden/>
              </w:rPr>
              <w:fldChar w:fldCharType="begin"/>
            </w:r>
            <w:r w:rsidR="00792B9A">
              <w:rPr>
                <w:noProof/>
                <w:webHidden/>
              </w:rPr>
              <w:instrText xml:space="preserve"> PAGEREF _Toc428785424 \h </w:instrText>
            </w:r>
            <w:r w:rsidR="00792B9A">
              <w:rPr>
                <w:noProof/>
                <w:webHidden/>
              </w:rPr>
            </w:r>
            <w:r w:rsidR="00792B9A">
              <w:rPr>
                <w:noProof/>
                <w:webHidden/>
              </w:rPr>
              <w:fldChar w:fldCharType="separate"/>
            </w:r>
            <w:r w:rsidR="00792B9A">
              <w:rPr>
                <w:noProof/>
                <w:webHidden/>
              </w:rPr>
              <w:t>47</w:t>
            </w:r>
            <w:r w:rsidR="00792B9A">
              <w:rPr>
                <w:noProof/>
                <w:webHidden/>
              </w:rPr>
              <w:fldChar w:fldCharType="end"/>
            </w:r>
          </w:hyperlink>
        </w:p>
        <w:p w14:paraId="6A85D62B"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25" w:history="1">
            <w:r w:rsidR="00792B9A" w:rsidRPr="008C4ED1">
              <w:rPr>
                <w:rStyle w:val="Hyperlink"/>
                <w:noProof/>
              </w:rPr>
              <w:t>Occupation Demand</w:t>
            </w:r>
            <w:r w:rsidR="00792B9A">
              <w:rPr>
                <w:noProof/>
                <w:webHidden/>
              </w:rPr>
              <w:tab/>
            </w:r>
            <w:r w:rsidR="00792B9A">
              <w:rPr>
                <w:noProof/>
                <w:webHidden/>
              </w:rPr>
              <w:fldChar w:fldCharType="begin"/>
            </w:r>
            <w:r w:rsidR="00792B9A">
              <w:rPr>
                <w:noProof/>
                <w:webHidden/>
              </w:rPr>
              <w:instrText xml:space="preserve"> PAGEREF _Toc428785425 \h </w:instrText>
            </w:r>
            <w:r w:rsidR="00792B9A">
              <w:rPr>
                <w:noProof/>
                <w:webHidden/>
              </w:rPr>
            </w:r>
            <w:r w:rsidR="00792B9A">
              <w:rPr>
                <w:noProof/>
                <w:webHidden/>
              </w:rPr>
              <w:fldChar w:fldCharType="separate"/>
            </w:r>
            <w:r w:rsidR="00792B9A">
              <w:rPr>
                <w:noProof/>
                <w:webHidden/>
              </w:rPr>
              <w:t>48</w:t>
            </w:r>
            <w:r w:rsidR="00792B9A">
              <w:rPr>
                <w:noProof/>
                <w:webHidden/>
              </w:rPr>
              <w:fldChar w:fldCharType="end"/>
            </w:r>
          </w:hyperlink>
        </w:p>
        <w:p w14:paraId="2B76221D" w14:textId="77777777" w:rsidR="00792B9A" w:rsidRDefault="007C7E49">
          <w:pPr>
            <w:pStyle w:val="TOC3"/>
            <w:tabs>
              <w:tab w:val="right" w:leader="dot" w:pos="9350"/>
            </w:tabs>
            <w:rPr>
              <w:rFonts w:asciiTheme="minorHAnsi" w:eastAsiaTheme="minorEastAsia" w:hAnsiTheme="minorHAnsi" w:cstheme="minorBidi"/>
              <w:noProof/>
              <w:sz w:val="22"/>
              <w:szCs w:val="22"/>
              <w:lang w:eastAsia="ja-JP"/>
            </w:rPr>
          </w:pPr>
          <w:hyperlink w:anchor="_Toc428785426" w:history="1">
            <w:r w:rsidR="00792B9A" w:rsidRPr="008C4ED1">
              <w:rPr>
                <w:rStyle w:val="Hyperlink"/>
                <w:noProof/>
              </w:rPr>
              <w:t>Educational Level Adjustments</w:t>
            </w:r>
            <w:r w:rsidR="00792B9A">
              <w:rPr>
                <w:noProof/>
                <w:webHidden/>
              </w:rPr>
              <w:tab/>
            </w:r>
            <w:r w:rsidR="00792B9A">
              <w:rPr>
                <w:noProof/>
                <w:webHidden/>
              </w:rPr>
              <w:fldChar w:fldCharType="begin"/>
            </w:r>
            <w:r w:rsidR="00792B9A">
              <w:rPr>
                <w:noProof/>
                <w:webHidden/>
              </w:rPr>
              <w:instrText xml:space="preserve"> PAGEREF _Toc428785426 \h </w:instrText>
            </w:r>
            <w:r w:rsidR="00792B9A">
              <w:rPr>
                <w:noProof/>
                <w:webHidden/>
              </w:rPr>
            </w:r>
            <w:r w:rsidR="00792B9A">
              <w:rPr>
                <w:noProof/>
                <w:webHidden/>
              </w:rPr>
              <w:fldChar w:fldCharType="separate"/>
            </w:r>
            <w:r w:rsidR="00792B9A">
              <w:rPr>
                <w:noProof/>
                <w:webHidden/>
              </w:rPr>
              <w:t>48</w:t>
            </w:r>
            <w:r w:rsidR="00792B9A">
              <w:rPr>
                <w:noProof/>
                <w:webHidden/>
              </w:rPr>
              <w:fldChar w:fldCharType="end"/>
            </w:r>
          </w:hyperlink>
        </w:p>
        <w:p w14:paraId="6E077AFD" w14:textId="77777777" w:rsidR="00792B9A" w:rsidRDefault="007C7E49">
          <w:pPr>
            <w:pStyle w:val="TOC3"/>
            <w:tabs>
              <w:tab w:val="right" w:leader="dot" w:pos="9350"/>
            </w:tabs>
            <w:rPr>
              <w:rFonts w:asciiTheme="minorHAnsi" w:eastAsiaTheme="minorEastAsia" w:hAnsiTheme="minorHAnsi" w:cstheme="minorBidi"/>
              <w:noProof/>
              <w:sz w:val="22"/>
              <w:szCs w:val="22"/>
              <w:lang w:eastAsia="ja-JP"/>
            </w:rPr>
          </w:pPr>
          <w:hyperlink w:anchor="_Toc428785427" w:history="1">
            <w:r w:rsidR="00792B9A" w:rsidRPr="008C4ED1">
              <w:rPr>
                <w:rStyle w:val="Hyperlink"/>
                <w:noProof/>
              </w:rPr>
              <w:t>De-duplication of Annual Openings</w:t>
            </w:r>
            <w:r w:rsidR="00792B9A">
              <w:rPr>
                <w:noProof/>
                <w:webHidden/>
              </w:rPr>
              <w:tab/>
            </w:r>
            <w:r w:rsidR="00792B9A">
              <w:rPr>
                <w:noProof/>
                <w:webHidden/>
              </w:rPr>
              <w:fldChar w:fldCharType="begin"/>
            </w:r>
            <w:r w:rsidR="00792B9A">
              <w:rPr>
                <w:noProof/>
                <w:webHidden/>
              </w:rPr>
              <w:instrText xml:space="preserve"> PAGEREF _Toc428785427 \h </w:instrText>
            </w:r>
            <w:r w:rsidR="00792B9A">
              <w:rPr>
                <w:noProof/>
                <w:webHidden/>
              </w:rPr>
            </w:r>
            <w:r w:rsidR="00792B9A">
              <w:rPr>
                <w:noProof/>
                <w:webHidden/>
              </w:rPr>
              <w:fldChar w:fldCharType="separate"/>
            </w:r>
            <w:r w:rsidR="00792B9A">
              <w:rPr>
                <w:noProof/>
                <w:webHidden/>
              </w:rPr>
              <w:t>49</w:t>
            </w:r>
            <w:r w:rsidR="00792B9A">
              <w:rPr>
                <w:noProof/>
                <w:webHidden/>
              </w:rPr>
              <w:fldChar w:fldCharType="end"/>
            </w:r>
          </w:hyperlink>
        </w:p>
        <w:p w14:paraId="30062E8D" w14:textId="77777777" w:rsidR="00792B9A" w:rsidRDefault="007C7E49">
          <w:pPr>
            <w:pStyle w:val="TOC2"/>
            <w:tabs>
              <w:tab w:val="right" w:leader="dot" w:pos="9350"/>
            </w:tabs>
            <w:rPr>
              <w:rFonts w:asciiTheme="minorHAnsi" w:eastAsiaTheme="minorEastAsia" w:hAnsiTheme="minorHAnsi" w:cstheme="minorBidi"/>
              <w:noProof/>
              <w:sz w:val="22"/>
              <w:szCs w:val="22"/>
              <w:lang w:eastAsia="ja-JP"/>
            </w:rPr>
          </w:pPr>
          <w:hyperlink w:anchor="_Toc428785428" w:history="1">
            <w:r w:rsidR="00792B9A" w:rsidRPr="008C4ED1">
              <w:rPr>
                <w:rStyle w:val="Hyperlink"/>
                <w:noProof/>
              </w:rPr>
              <w:t>Education Output</w:t>
            </w:r>
            <w:r w:rsidR="00792B9A">
              <w:rPr>
                <w:noProof/>
                <w:webHidden/>
              </w:rPr>
              <w:tab/>
            </w:r>
            <w:r w:rsidR="00792B9A">
              <w:rPr>
                <w:noProof/>
                <w:webHidden/>
              </w:rPr>
              <w:fldChar w:fldCharType="begin"/>
            </w:r>
            <w:r w:rsidR="00792B9A">
              <w:rPr>
                <w:noProof/>
                <w:webHidden/>
              </w:rPr>
              <w:instrText xml:space="preserve"> PAGEREF _Toc428785428 \h </w:instrText>
            </w:r>
            <w:r w:rsidR="00792B9A">
              <w:rPr>
                <w:noProof/>
                <w:webHidden/>
              </w:rPr>
            </w:r>
            <w:r w:rsidR="00792B9A">
              <w:rPr>
                <w:noProof/>
                <w:webHidden/>
              </w:rPr>
              <w:fldChar w:fldCharType="separate"/>
            </w:r>
            <w:r w:rsidR="00792B9A">
              <w:rPr>
                <w:noProof/>
                <w:webHidden/>
              </w:rPr>
              <w:t>50</w:t>
            </w:r>
            <w:r w:rsidR="00792B9A">
              <w:rPr>
                <w:noProof/>
                <w:webHidden/>
              </w:rPr>
              <w:fldChar w:fldCharType="end"/>
            </w:r>
          </w:hyperlink>
        </w:p>
        <w:p w14:paraId="7834AD9D" w14:textId="77777777" w:rsidR="00792B9A" w:rsidRDefault="007C7E49">
          <w:pPr>
            <w:pStyle w:val="TOC1"/>
            <w:tabs>
              <w:tab w:val="right" w:leader="dot" w:pos="9350"/>
            </w:tabs>
            <w:rPr>
              <w:rFonts w:asciiTheme="minorHAnsi" w:eastAsiaTheme="minorEastAsia" w:hAnsiTheme="minorHAnsi" w:cstheme="minorBidi"/>
              <w:noProof/>
              <w:sz w:val="22"/>
              <w:szCs w:val="22"/>
              <w:lang w:eastAsia="ja-JP"/>
            </w:rPr>
          </w:pPr>
          <w:hyperlink w:anchor="_Toc428785429" w:history="1">
            <w:r w:rsidR="00792B9A" w:rsidRPr="008C4ED1">
              <w:rPr>
                <w:rStyle w:val="Hyperlink"/>
                <w:noProof/>
              </w:rPr>
              <w:t>Appendix 4: Alternative Gap Analysis Calculations</w:t>
            </w:r>
            <w:r w:rsidR="00792B9A">
              <w:rPr>
                <w:noProof/>
                <w:webHidden/>
              </w:rPr>
              <w:tab/>
            </w:r>
            <w:r w:rsidR="00792B9A">
              <w:rPr>
                <w:noProof/>
                <w:webHidden/>
              </w:rPr>
              <w:fldChar w:fldCharType="begin"/>
            </w:r>
            <w:r w:rsidR="00792B9A">
              <w:rPr>
                <w:noProof/>
                <w:webHidden/>
              </w:rPr>
              <w:instrText xml:space="preserve"> PAGEREF _Toc428785429 \h </w:instrText>
            </w:r>
            <w:r w:rsidR="00792B9A">
              <w:rPr>
                <w:noProof/>
                <w:webHidden/>
              </w:rPr>
            </w:r>
            <w:r w:rsidR="00792B9A">
              <w:rPr>
                <w:noProof/>
                <w:webHidden/>
              </w:rPr>
              <w:fldChar w:fldCharType="separate"/>
            </w:r>
            <w:r w:rsidR="00792B9A">
              <w:rPr>
                <w:noProof/>
                <w:webHidden/>
              </w:rPr>
              <w:t>53</w:t>
            </w:r>
            <w:r w:rsidR="00792B9A">
              <w:rPr>
                <w:noProof/>
                <w:webHidden/>
              </w:rPr>
              <w:fldChar w:fldCharType="end"/>
            </w:r>
          </w:hyperlink>
        </w:p>
        <w:p w14:paraId="17F54A70" w14:textId="77777777" w:rsidR="00792B9A" w:rsidRDefault="007C7E49">
          <w:pPr>
            <w:pStyle w:val="TOC3"/>
            <w:tabs>
              <w:tab w:val="right" w:leader="dot" w:pos="9350"/>
            </w:tabs>
            <w:rPr>
              <w:rFonts w:asciiTheme="minorHAnsi" w:eastAsiaTheme="minorEastAsia" w:hAnsiTheme="minorHAnsi" w:cstheme="minorBidi"/>
              <w:noProof/>
              <w:sz w:val="22"/>
              <w:szCs w:val="22"/>
              <w:lang w:eastAsia="ja-JP"/>
            </w:rPr>
          </w:pPr>
          <w:hyperlink w:anchor="_Toc428785430" w:history="1">
            <w:r w:rsidR="00792B9A" w:rsidRPr="008C4ED1">
              <w:rPr>
                <w:rStyle w:val="Hyperlink"/>
                <w:noProof/>
              </w:rPr>
              <w:t>Alternative Gap Analysis Tables</w:t>
            </w:r>
            <w:r w:rsidR="00792B9A">
              <w:rPr>
                <w:noProof/>
                <w:webHidden/>
              </w:rPr>
              <w:tab/>
            </w:r>
            <w:r w:rsidR="00792B9A">
              <w:rPr>
                <w:noProof/>
                <w:webHidden/>
              </w:rPr>
              <w:fldChar w:fldCharType="begin"/>
            </w:r>
            <w:r w:rsidR="00792B9A">
              <w:rPr>
                <w:noProof/>
                <w:webHidden/>
              </w:rPr>
              <w:instrText xml:space="preserve"> PAGEREF _Toc428785430 \h </w:instrText>
            </w:r>
            <w:r w:rsidR="00792B9A">
              <w:rPr>
                <w:noProof/>
                <w:webHidden/>
              </w:rPr>
            </w:r>
            <w:r w:rsidR="00792B9A">
              <w:rPr>
                <w:noProof/>
                <w:webHidden/>
              </w:rPr>
              <w:fldChar w:fldCharType="separate"/>
            </w:r>
            <w:r w:rsidR="00792B9A">
              <w:rPr>
                <w:noProof/>
                <w:webHidden/>
              </w:rPr>
              <w:t>53</w:t>
            </w:r>
            <w:r w:rsidR="00792B9A">
              <w:rPr>
                <w:noProof/>
                <w:webHidden/>
              </w:rPr>
              <w:fldChar w:fldCharType="end"/>
            </w:r>
          </w:hyperlink>
        </w:p>
        <w:p w14:paraId="38355B77" w14:textId="77777777" w:rsidR="00792B9A" w:rsidRDefault="007C7E49">
          <w:pPr>
            <w:pStyle w:val="TOC1"/>
            <w:tabs>
              <w:tab w:val="right" w:leader="dot" w:pos="9350"/>
            </w:tabs>
            <w:rPr>
              <w:rFonts w:asciiTheme="minorHAnsi" w:eastAsiaTheme="minorEastAsia" w:hAnsiTheme="minorHAnsi" w:cstheme="minorBidi"/>
              <w:noProof/>
              <w:sz w:val="22"/>
              <w:szCs w:val="22"/>
              <w:lang w:eastAsia="ja-JP"/>
            </w:rPr>
          </w:pPr>
          <w:hyperlink w:anchor="_Toc428785431" w:history="1">
            <w:r w:rsidR="00792B9A" w:rsidRPr="008C4ED1">
              <w:rPr>
                <w:rStyle w:val="Hyperlink"/>
                <w:noProof/>
              </w:rPr>
              <w:t>Appendix 5: Detailed Employment Projections</w:t>
            </w:r>
            <w:r w:rsidR="00792B9A">
              <w:rPr>
                <w:noProof/>
                <w:webHidden/>
              </w:rPr>
              <w:tab/>
            </w:r>
            <w:r w:rsidR="00792B9A">
              <w:rPr>
                <w:noProof/>
                <w:webHidden/>
              </w:rPr>
              <w:fldChar w:fldCharType="begin"/>
            </w:r>
            <w:r w:rsidR="00792B9A">
              <w:rPr>
                <w:noProof/>
                <w:webHidden/>
              </w:rPr>
              <w:instrText xml:space="preserve"> PAGEREF _Toc428785431 \h </w:instrText>
            </w:r>
            <w:r w:rsidR="00792B9A">
              <w:rPr>
                <w:noProof/>
                <w:webHidden/>
              </w:rPr>
            </w:r>
            <w:r w:rsidR="00792B9A">
              <w:rPr>
                <w:noProof/>
                <w:webHidden/>
              </w:rPr>
              <w:fldChar w:fldCharType="separate"/>
            </w:r>
            <w:r w:rsidR="00792B9A">
              <w:rPr>
                <w:noProof/>
                <w:webHidden/>
              </w:rPr>
              <w:t>56</w:t>
            </w:r>
            <w:r w:rsidR="00792B9A">
              <w:rPr>
                <w:noProof/>
                <w:webHidden/>
              </w:rPr>
              <w:fldChar w:fldCharType="end"/>
            </w:r>
          </w:hyperlink>
        </w:p>
        <w:p w14:paraId="68A598D4" w14:textId="0FD26AD0" w:rsidR="00452DE2" w:rsidRDefault="00452DE2">
          <w:r>
            <w:rPr>
              <w:b/>
              <w:bCs/>
              <w:noProof/>
            </w:rPr>
            <w:fldChar w:fldCharType="end"/>
          </w:r>
        </w:p>
      </w:sdtContent>
    </w:sdt>
    <w:p w14:paraId="44440BA9" w14:textId="77777777" w:rsidR="008A416E" w:rsidRPr="008A416E" w:rsidRDefault="008A416E" w:rsidP="008A416E">
      <w:pPr>
        <w:ind w:left="360"/>
      </w:pPr>
    </w:p>
    <w:p w14:paraId="4EB91D1B" w14:textId="6F1A4E09" w:rsidR="0013400C" w:rsidRPr="0072192A" w:rsidRDefault="0013400C" w:rsidP="008A5B82">
      <w:pPr>
        <w:pStyle w:val="Heading1"/>
      </w:pPr>
      <w:bookmarkStart w:id="7" w:name="_Toc428785404"/>
      <w:r w:rsidRPr="00BA0412">
        <w:lastRenderedPageBreak/>
        <w:t>Introduction</w:t>
      </w:r>
      <w:bookmarkEnd w:id="4"/>
      <w:bookmarkEnd w:id="7"/>
    </w:p>
    <w:p w14:paraId="45F1ACB1" w14:textId="5770CFC0" w:rsidR="00A26418" w:rsidRDefault="00016677" w:rsidP="00A26418">
      <w:r>
        <w:t>Colleges</w:t>
      </w:r>
      <w:r w:rsidR="00A26418">
        <w:t xml:space="preserve"> face many challenges in their efforts to identify the training needs of their </w:t>
      </w:r>
      <w:r w:rsidR="00B101E7">
        <w:t>Economic Region</w:t>
      </w:r>
      <w:r w:rsidR="00C65652">
        <w:t>s</w:t>
      </w:r>
      <w:r w:rsidR="00A26418">
        <w:t xml:space="preserve">. They must </w:t>
      </w:r>
      <w:r w:rsidR="004E3BBD">
        <w:t>a</w:t>
      </w:r>
      <w:r w:rsidR="005715BC">
        <w:t>ccount</w:t>
      </w:r>
      <w:r w:rsidR="00A26418">
        <w:t xml:space="preserve"> for regional economic trends and the changing quality of the workforce. Furthermore, as technology progresses, colleges need to address the increasingly complex and specialized skills required by employers. In light of these dynamics, an understanding of the regional economy and the demand for skilled labor is vital to the planning efforts of colleges seeking to adapt their program offerings to the requirements of an ever-changing workforce. </w:t>
      </w:r>
    </w:p>
    <w:p w14:paraId="637AE26F" w14:textId="2F2A06C6" w:rsidR="00A26418" w:rsidRDefault="00A26418" w:rsidP="00A26418">
      <w:r>
        <w:t xml:space="preserve">To gain better insight </w:t>
      </w:r>
      <w:r w:rsidR="000A2BDB">
        <w:t xml:space="preserve">into </w:t>
      </w:r>
      <w:r>
        <w:t xml:space="preserve">economic conditions and workforce trends, </w:t>
      </w:r>
      <w:r w:rsidR="006C38C7">
        <w:t>Clovis</w:t>
      </w:r>
      <w:r w:rsidR="00B101E7">
        <w:t xml:space="preserve"> </w:t>
      </w:r>
      <w:r w:rsidR="006C38C7">
        <w:t xml:space="preserve">Community </w:t>
      </w:r>
      <w:r w:rsidR="00B101E7">
        <w:t>College</w:t>
      </w:r>
      <w:r>
        <w:t xml:space="preserve"> (</w:t>
      </w:r>
      <w:r w:rsidR="006C38C7">
        <w:t>CC</w:t>
      </w:r>
      <w:r w:rsidR="00B101E7">
        <w:t>C</w:t>
      </w:r>
      <w:r>
        <w:t xml:space="preserve">) partnered with Economic Modeling Specialists Intl. (EMSI) to conduct an economic overview of the college’s </w:t>
      </w:r>
      <w:r w:rsidR="00B101E7">
        <w:t>Economic Region</w:t>
      </w:r>
      <w:r>
        <w:t xml:space="preserve"> and a workforce “gap” analysis of the college’s program offerings. Gap analysis is a technique used to assess the supply and demand of skilled workers and identify the educational programs that need to be adapted in order to fill any existing or future gaps. The analysis weighs the educational output of </w:t>
      </w:r>
      <w:r w:rsidR="00B101E7">
        <w:t>RC</w:t>
      </w:r>
      <w:r>
        <w:t xml:space="preserve"> and other regional institutions against the number of job openings related to the institutions’ program offerings to determine whether an oversupply or an undersupply of skilled workers exists. The goal of the analysis is to provide </w:t>
      </w:r>
      <w:r w:rsidR="00B101E7">
        <w:t>RC</w:t>
      </w:r>
      <w:r>
        <w:t xml:space="preserve"> with relevant data and information that it can use when solving problems and making decisions about current and future program development.</w:t>
      </w:r>
    </w:p>
    <w:p w14:paraId="7C4D97E2" w14:textId="3207E836" w:rsidR="00A26418" w:rsidRDefault="00A26418" w:rsidP="00A26418">
      <w:r>
        <w:t>The regional backdrop used in this report is defined by</w:t>
      </w:r>
      <w:r w:rsidR="0026797A">
        <w:t xml:space="preserve"> </w:t>
      </w:r>
      <w:r w:rsidR="005E54A2">
        <w:t>Fresno, Kings, Madera, and Tulare Counties</w:t>
      </w:r>
      <w:r w:rsidR="00B82647">
        <w:t xml:space="preserve">. </w:t>
      </w:r>
      <w:r w:rsidR="00F11AD2">
        <w:t xml:space="preserve">This regional backdrop will be </w:t>
      </w:r>
      <w:r>
        <w:t xml:space="preserve">referred to as “the </w:t>
      </w:r>
      <w:r w:rsidR="00B101E7">
        <w:t>RC</w:t>
      </w:r>
      <w:r>
        <w:t xml:space="preserve"> </w:t>
      </w:r>
      <w:r w:rsidR="00B101E7">
        <w:t>Economic Region</w:t>
      </w:r>
      <w:r>
        <w:t xml:space="preserve">”. </w:t>
      </w:r>
      <w:r w:rsidR="006C38C7">
        <w:t>CC</w:t>
      </w:r>
      <w:r w:rsidR="00B101E7">
        <w:t>C</w:t>
      </w:r>
      <w:r w:rsidR="00384835">
        <w:t xml:space="preserve"> is located in </w:t>
      </w:r>
      <w:r w:rsidR="005E54A2">
        <w:t>Fresno</w:t>
      </w:r>
      <w:r w:rsidR="00384835">
        <w:t xml:space="preserve">, </w:t>
      </w:r>
      <w:r w:rsidR="00507F41">
        <w:t>C</w:t>
      </w:r>
      <w:r w:rsidR="005E54A2">
        <w:t>A</w:t>
      </w:r>
      <w:r w:rsidR="00384835">
        <w:t>.</w:t>
      </w:r>
      <w:r w:rsidR="00CC2158">
        <w:rPr>
          <w:rStyle w:val="FootnoteReference"/>
        </w:rPr>
        <w:footnoteReference w:id="1"/>
      </w:r>
      <w:r w:rsidR="00CC2158">
        <w:t xml:space="preserve"> </w:t>
      </w:r>
      <w:r>
        <w:t>See Figure 1</w:t>
      </w:r>
      <w:r w:rsidR="000B50E0">
        <w:t>.1</w:t>
      </w:r>
      <w:r>
        <w:t xml:space="preserve"> for a map of the region. </w:t>
      </w:r>
    </w:p>
    <w:p w14:paraId="47C8B7F4" w14:textId="7C9EEB7F" w:rsidR="00A26418" w:rsidRDefault="00A26418" w:rsidP="00A26418">
      <w:r>
        <w:lastRenderedPageBreak/>
        <w:t xml:space="preserve">The report is broken into two chapters. Chapter 1 provides an overview of employment in the </w:t>
      </w:r>
      <w:r w:rsidR="006C38C7">
        <w:t>CCC</w:t>
      </w:r>
      <w:r>
        <w:t xml:space="preserve"> </w:t>
      </w:r>
      <w:r w:rsidR="00B101E7">
        <w:t>Economic Region</w:t>
      </w:r>
      <w:r>
        <w:t xml:space="preserve"> economy with high-level information about current and projected job trends, resident commuting patterns, and unemployment. Chapter 1 also provides further information specifically related to the educational characteristics of the population by gender and ethnicity. Chapter 2 summarizes the results of the program gap analysis and provides recommendations for possible future program needs. After a brief conclusion, detailed information and data are provided in the appendices.</w:t>
      </w:r>
    </w:p>
    <w:p w14:paraId="3A14AE4B" w14:textId="0AEE42AD" w:rsidR="00274E96" w:rsidRPr="0072192A" w:rsidRDefault="00274E96" w:rsidP="00B1533D">
      <w:pPr>
        <w:pStyle w:val="Heading1"/>
      </w:pPr>
      <w:bookmarkStart w:id="8" w:name="_Toc428785405"/>
      <w:r>
        <w:lastRenderedPageBreak/>
        <w:t xml:space="preserve">Chapter 1: </w:t>
      </w:r>
      <w:r w:rsidRPr="00BA0412">
        <w:t>Overview</w:t>
      </w:r>
      <w:r w:rsidR="001A6A8F">
        <w:t xml:space="preserve"> of the Economy</w:t>
      </w:r>
      <w:bookmarkEnd w:id="8"/>
    </w:p>
    <w:p w14:paraId="466F364F" w14:textId="33A6D244" w:rsidR="00274E96" w:rsidRDefault="00274E96" w:rsidP="00FE5A48">
      <w:r>
        <w:t xml:space="preserve">This chapter provides a high-level overview of </w:t>
      </w:r>
      <w:r w:rsidR="005E3D0A">
        <w:t xml:space="preserve">employment </w:t>
      </w:r>
      <w:r w:rsidR="001A6A8F">
        <w:t xml:space="preserve">and demographics </w:t>
      </w:r>
      <w:r w:rsidR="005E3D0A">
        <w:t xml:space="preserve">in the </w:t>
      </w:r>
      <w:r w:rsidR="00E95674">
        <w:t xml:space="preserve">economy of the </w:t>
      </w:r>
      <w:r w:rsidR="006C38C7">
        <w:t>CCC</w:t>
      </w:r>
      <w:r w:rsidR="00E95674">
        <w:t xml:space="preserve"> </w:t>
      </w:r>
      <w:r w:rsidR="00B101E7">
        <w:t>Economic Region</w:t>
      </w:r>
      <w:r w:rsidR="00E95674">
        <w:t xml:space="preserve">, defined by </w:t>
      </w:r>
      <w:r w:rsidR="005E54A2">
        <w:t xml:space="preserve">Fresno, Kings, Madera, and Tulare Counties </w:t>
      </w:r>
      <w:r w:rsidR="00E95674">
        <w:t>(see Figure 1</w:t>
      </w:r>
      <w:r w:rsidR="000B50E0">
        <w:t>.1</w:t>
      </w:r>
      <w:r w:rsidR="00E95674">
        <w:t xml:space="preserve">). </w:t>
      </w:r>
      <w:r>
        <w:t>The goal of th</w:t>
      </w:r>
      <w:r w:rsidR="00E95674">
        <w:t>e chapter is to provide data on the economic and workfo</w:t>
      </w:r>
      <w:r w:rsidR="006C38C7">
        <w:t>rc</w:t>
      </w:r>
      <w:r w:rsidR="00E95674">
        <w:t xml:space="preserve">e </w:t>
      </w:r>
      <w:r w:rsidR="005E3D0A">
        <w:t xml:space="preserve">employment </w:t>
      </w:r>
      <w:r>
        <w:t xml:space="preserve">trends </w:t>
      </w:r>
      <w:r w:rsidR="00E95674">
        <w:t xml:space="preserve">that either already exist or are </w:t>
      </w:r>
      <w:r>
        <w:t xml:space="preserve">developing in the region. Such </w:t>
      </w:r>
      <w:r w:rsidR="00E95674">
        <w:t xml:space="preserve">information </w:t>
      </w:r>
      <w:r>
        <w:t xml:space="preserve">is crucial in building awareness of </w:t>
      </w:r>
      <w:r w:rsidR="005E3D0A">
        <w:t xml:space="preserve">the region’s </w:t>
      </w:r>
      <w:r w:rsidR="00D64B11">
        <w:t>labor fo</w:t>
      </w:r>
      <w:r w:rsidR="006C38C7">
        <w:t>rc</w:t>
      </w:r>
      <w:r w:rsidR="00D64B11">
        <w:t>e</w:t>
      </w:r>
      <w:r w:rsidR="005E3D0A">
        <w:t xml:space="preserve"> – both now and </w:t>
      </w:r>
      <w:r w:rsidR="00D64B11">
        <w:t xml:space="preserve">in the </w:t>
      </w:r>
      <w:r w:rsidR="005E3D0A">
        <w:t xml:space="preserve">future – and identifying priority areas where </w:t>
      </w:r>
      <w:r w:rsidR="00D64B11">
        <w:t>educators</w:t>
      </w:r>
      <w:r w:rsidR="005E3D0A">
        <w:t xml:space="preserve"> </w:t>
      </w:r>
      <w:r w:rsidR="009706B8">
        <w:t>can</w:t>
      </w:r>
      <w:r w:rsidR="005E3D0A">
        <w:t xml:space="preserve"> focus their attention.</w:t>
      </w:r>
      <w:r>
        <w:t xml:space="preserve"> The chapter examine</w:t>
      </w:r>
      <w:r w:rsidR="005E3D0A">
        <w:t>s</w:t>
      </w:r>
      <w:r>
        <w:t xml:space="preserve"> </w:t>
      </w:r>
      <w:r w:rsidR="005E3D0A">
        <w:t>employment</w:t>
      </w:r>
      <w:r w:rsidR="001A6A8F">
        <w:t xml:space="preserve"> and demographics</w:t>
      </w:r>
      <w:r w:rsidR="005E3D0A">
        <w:t xml:space="preserve"> in the </w:t>
      </w:r>
      <w:r w:rsidR="006C38C7">
        <w:t>CCC</w:t>
      </w:r>
      <w:r w:rsidR="005E3D0A">
        <w:t xml:space="preserve"> </w:t>
      </w:r>
      <w:r w:rsidR="00B101E7">
        <w:t>Economic Region</w:t>
      </w:r>
      <w:r w:rsidR="005E3D0A">
        <w:t xml:space="preserve"> </w:t>
      </w:r>
      <w:r w:rsidR="00D30516">
        <w:t>according</w:t>
      </w:r>
      <w:r w:rsidR="005E3D0A">
        <w:t xml:space="preserve"> to </w:t>
      </w:r>
      <w:r>
        <w:t>the following f</w:t>
      </w:r>
      <w:r w:rsidR="001A6A8F">
        <w:t xml:space="preserve">ive </w:t>
      </w:r>
      <w:r w:rsidR="005E3D0A">
        <w:t>indicators</w:t>
      </w:r>
      <w:r>
        <w:t xml:space="preserve">: </w:t>
      </w:r>
      <w:r w:rsidR="005E3D0A">
        <w:t xml:space="preserve">jobs by </w:t>
      </w:r>
      <w:r>
        <w:t xml:space="preserve">industry, </w:t>
      </w:r>
      <w:r w:rsidR="005E3D0A">
        <w:t xml:space="preserve">jobs by </w:t>
      </w:r>
      <w:r>
        <w:t xml:space="preserve">occupation, </w:t>
      </w:r>
      <w:r w:rsidR="001A6A8F">
        <w:t>commuting patterns</w:t>
      </w:r>
      <w:r w:rsidR="005E3D0A">
        <w:t xml:space="preserve">, </w:t>
      </w:r>
      <w:r>
        <w:t>unemployment</w:t>
      </w:r>
      <w:r w:rsidR="001A6A8F">
        <w:t>, and educational attainment</w:t>
      </w:r>
      <w:r>
        <w:t>.</w:t>
      </w:r>
      <w:r w:rsidR="005E3D0A">
        <w:t xml:space="preserve"> </w:t>
      </w:r>
    </w:p>
    <w:p w14:paraId="79957A2B" w14:textId="2AF2C232" w:rsidR="000B50E0" w:rsidRDefault="000B50E0" w:rsidP="000B50E0">
      <w:pPr>
        <w:pStyle w:val="FigureTitle"/>
      </w:pPr>
      <w:r w:rsidRPr="00562108">
        <w:t xml:space="preserve">Figure </w:t>
      </w:r>
      <w:r>
        <w:t>1.1</w:t>
      </w:r>
      <w:r w:rsidRPr="00562108">
        <w:t xml:space="preserve">: </w:t>
      </w:r>
      <w:r>
        <w:t xml:space="preserve">Map of </w:t>
      </w:r>
      <w:r w:rsidR="006C38C7">
        <w:t>CCC</w:t>
      </w:r>
      <w:r>
        <w:t xml:space="preserve"> </w:t>
      </w:r>
      <w:r w:rsidR="00B101E7">
        <w:t>Economic Region</w:t>
      </w:r>
    </w:p>
    <w:p w14:paraId="767CBBBA" w14:textId="664C5B9B" w:rsidR="000B50E0" w:rsidRDefault="005E54A2" w:rsidP="000B50E0">
      <w:pPr>
        <w:pStyle w:val="FigureTitle"/>
      </w:pPr>
      <w:r>
        <w:rPr>
          <w:noProof/>
        </w:rPr>
        <w:drawing>
          <wp:inline distT="0" distB="0" distL="0" distR="0" wp14:anchorId="1A63429F" wp14:editId="7F706BD1">
            <wp:extent cx="5884026" cy="3914775"/>
            <wp:effectExtent l="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5884026" cy="3914775"/>
                    </a:xfrm>
                    <a:prstGeom prst="rect">
                      <a:avLst/>
                    </a:prstGeom>
                  </pic:spPr>
                </pic:pic>
              </a:graphicData>
            </a:graphic>
          </wp:inline>
        </w:drawing>
      </w:r>
    </w:p>
    <w:p w14:paraId="338354FC" w14:textId="5FD3CA7D" w:rsidR="00274E96" w:rsidRDefault="00D64B11" w:rsidP="00445912">
      <w:pPr>
        <w:pStyle w:val="Heading2"/>
      </w:pPr>
      <w:bookmarkStart w:id="9" w:name="_Toc428785406"/>
      <w:r>
        <w:t>Jobs by Industry</w:t>
      </w:r>
      <w:bookmarkEnd w:id="9"/>
    </w:p>
    <w:p w14:paraId="17FA274E" w14:textId="6E365E8E" w:rsidR="00786221" w:rsidRDefault="009706B8" w:rsidP="00FE5A48">
      <w:r>
        <w:t>E</w:t>
      </w:r>
      <w:r w:rsidR="00274E96">
        <w:t xml:space="preserve">valuating current and future employment </w:t>
      </w:r>
      <w:r>
        <w:t xml:space="preserve">by industry </w:t>
      </w:r>
      <w:r w:rsidR="00274E96">
        <w:t xml:space="preserve">provides </w:t>
      </w:r>
      <w:r>
        <w:t>information</w:t>
      </w:r>
      <w:r w:rsidR="00274E96">
        <w:t xml:space="preserve"> o</w:t>
      </w:r>
      <w:r>
        <w:t>n</w:t>
      </w:r>
      <w:r w:rsidR="00274E96">
        <w:t xml:space="preserve"> the economic diversification </w:t>
      </w:r>
      <w:r>
        <w:t xml:space="preserve">of a given </w:t>
      </w:r>
      <w:r w:rsidR="00274E96">
        <w:lastRenderedPageBreak/>
        <w:t xml:space="preserve">region. </w:t>
      </w:r>
      <w:r w:rsidR="002E3D5D">
        <w:t>I</w:t>
      </w:r>
      <w:r w:rsidR="00786221">
        <w:t>ndustr</w:t>
      </w:r>
      <w:r w:rsidR="002E3D5D">
        <w:t>ies</w:t>
      </w:r>
      <w:r w:rsidR="00786221">
        <w:t xml:space="preserve"> consist of </w:t>
      </w:r>
      <w:r w:rsidR="002E3D5D">
        <w:t xml:space="preserve">groups of </w:t>
      </w:r>
      <w:r w:rsidR="00786221">
        <w:t xml:space="preserve">companies </w:t>
      </w:r>
      <w:r w:rsidR="002E3D5D">
        <w:t xml:space="preserve">that are primarily engaged in </w:t>
      </w:r>
      <w:r w:rsidR="00786221">
        <w:t>produc</w:t>
      </w:r>
      <w:r w:rsidR="002E3D5D">
        <w:t>ing</w:t>
      </w:r>
      <w:r w:rsidR="00786221">
        <w:t xml:space="preserve"> the same product or service.</w:t>
      </w:r>
      <w:r w:rsidR="002E3D5D">
        <w:t xml:space="preserve"> The North American Industry Classification System (NAICS) </w:t>
      </w:r>
      <w:r w:rsidR="001A308F">
        <w:t xml:space="preserve">is </w:t>
      </w:r>
      <w:r w:rsidR="002E3D5D">
        <w:t xml:space="preserve">the structure </w:t>
      </w:r>
      <w:r w:rsidR="009A4F98">
        <w:t xml:space="preserve">used </w:t>
      </w:r>
      <w:r w:rsidR="001A308F">
        <w:t xml:space="preserve">by the U.S. Census Bureau to </w:t>
      </w:r>
      <w:r w:rsidR="002E3D5D">
        <w:t>classify establishments into indu</w:t>
      </w:r>
      <w:r w:rsidR="001A308F">
        <w:t xml:space="preserve">stries based on their </w:t>
      </w:r>
      <w:r w:rsidR="007D0DE4">
        <w:t>production process (</w:t>
      </w:r>
      <w:r w:rsidR="00CA0139">
        <w:t xml:space="preserve">although </w:t>
      </w:r>
      <w:r w:rsidR="007D0DE4">
        <w:t xml:space="preserve">the final product or service is usually similar </w:t>
      </w:r>
      <w:r w:rsidR="00CA0139">
        <w:t xml:space="preserve">for the </w:t>
      </w:r>
      <w:r w:rsidR="007D0DE4">
        <w:t>firms in a</w:t>
      </w:r>
      <w:r w:rsidR="00CA0139">
        <w:t xml:space="preserve"> given </w:t>
      </w:r>
      <w:r w:rsidR="007D0DE4">
        <w:t>industry)</w:t>
      </w:r>
      <w:r w:rsidR="001A308F">
        <w:t xml:space="preserve">. </w:t>
      </w:r>
      <w:r w:rsidR="009A4F98">
        <w:t>NAICS applies a</w:t>
      </w:r>
      <w:r w:rsidR="001A308F">
        <w:t xml:space="preserve"> six-digit hiera</w:t>
      </w:r>
      <w:r w:rsidR="006C38C7">
        <w:t>rc</w:t>
      </w:r>
      <w:r w:rsidR="001A308F">
        <w:t>hical coding system</w:t>
      </w:r>
      <w:r w:rsidR="009A4F98">
        <w:t xml:space="preserve"> </w:t>
      </w:r>
      <w:r w:rsidR="001A308F">
        <w:t>to organize more than 1,100 detailed industries</w:t>
      </w:r>
      <w:r w:rsidR="009A4F98">
        <w:t xml:space="preserve"> into </w:t>
      </w:r>
      <w:r w:rsidR="001A308F">
        <w:t xml:space="preserve">twenty </w:t>
      </w:r>
      <w:r w:rsidR="009A4F98">
        <w:t xml:space="preserve">larger </w:t>
      </w:r>
      <w:r w:rsidR="00311DA5">
        <w:t>industry</w:t>
      </w:r>
      <w:r w:rsidR="001A308F">
        <w:t xml:space="preserve"> sectors.</w:t>
      </w:r>
      <w:r w:rsidR="00CA0139">
        <w:t xml:space="preserve"> </w:t>
      </w:r>
      <w:r w:rsidR="001A308F">
        <w:t xml:space="preserve">The breakdown of current and future employment by </w:t>
      </w:r>
      <w:r w:rsidR="009A4F98">
        <w:t xml:space="preserve">major </w:t>
      </w:r>
      <w:r w:rsidR="001A308F">
        <w:t xml:space="preserve">industry sector in the </w:t>
      </w:r>
      <w:r w:rsidR="006C38C7">
        <w:t>CCC</w:t>
      </w:r>
      <w:r w:rsidR="001A308F">
        <w:t xml:space="preserve"> </w:t>
      </w:r>
      <w:r w:rsidR="00B101E7">
        <w:t>Economic Region</w:t>
      </w:r>
      <w:r w:rsidR="001A308F">
        <w:t xml:space="preserve"> appears in Table 1</w:t>
      </w:r>
      <w:r w:rsidR="00DD0DD0">
        <w:t>.1</w:t>
      </w:r>
      <w:r w:rsidR="001A308F">
        <w:t xml:space="preserve"> and Figure </w:t>
      </w:r>
      <w:r w:rsidR="00DD0DD0">
        <w:t>1.</w:t>
      </w:r>
      <w:r w:rsidR="001A308F">
        <w:t>2.</w:t>
      </w:r>
    </w:p>
    <w:p w14:paraId="0F86ABD3" w14:textId="04A862EE" w:rsidR="00274E96" w:rsidRDefault="009706B8" w:rsidP="00FE5A48">
      <w:r>
        <w:t>As shown, t</w:t>
      </w:r>
      <w:r w:rsidR="00274E96">
        <w:t>he</w:t>
      </w:r>
      <w:r w:rsidR="001041FA">
        <w:t xml:space="preserve"> three largest industry sectors </w:t>
      </w:r>
      <w:r w:rsidR="009A4F98">
        <w:t xml:space="preserve">in the </w:t>
      </w:r>
      <w:r w:rsidR="006C38C7">
        <w:t>CCC</w:t>
      </w:r>
      <w:r w:rsidR="009A4F98">
        <w:t xml:space="preserve"> </w:t>
      </w:r>
      <w:r w:rsidR="00B101E7">
        <w:t>Economic Region</w:t>
      </w:r>
      <w:r w:rsidR="009A4F98">
        <w:t xml:space="preserve"> are</w:t>
      </w:r>
      <w:r w:rsidR="0058623C">
        <w:t xml:space="preserve"> </w:t>
      </w:r>
      <w:r w:rsidR="00BF55A5">
        <w:t>Government</w:t>
      </w:r>
      <w:r w:rsidR="00A02C29">
        <w:t>;</w:t>
      </w:r>
      <w:r w:rsidR="00CB6F04">
        <w:t xml:space="preserve"> </w:t>
      </w:r>
      <w:r w:rsidR="005E54A2">
        <w:t>Agriculture, Forestry, Fishing, &amp; Hunting</w:t>
      </w:r>
      <w:r w:rsidR="00A02C29">
        <w:t>;</w:t>
      </w:r>
      <w:r w:rsidR="0058623C">
        <w:t xml:space="preserve"> </w:t>
      </w:r>
      <w:r w:rsidR="002E4FA2">
        <w:t>and</w:t>
      </w:r>
      <w:r w:rsidR="0058623C">
        <w:t xml:space="preserve"> </w:t>
      </w:r>
      <w:r w:rsidR="005E54A2">
        <w:t>Health Care &amp; Social Assistance</w:t>
      </w:r>
      <w:r w:rsidR="009A4F98">
        <w:t xml:space="preserve">. Together these </w:t>
      </w:r>
      <w:r w:rsidR="001041FA">
        <w:t>sectors</w:t>
      </w:r>
      <w:r w:rsidR="00F002AE">
        <w:t xml:space="preserve"> ma</w:t>
      </w:r>
      <w:r w:rsidR="00AF7D25">
        <w:t>d</w:t>
      </w:r>
      <w:r w:rsidR="009A4F98">
        <w:t xml:space="preserve">e up </w:t>
      </w:r>
      <w:r w:rsidR="005E54A2">
        <w:t xml:space="preserve">319,508 </w:t>
      </w:r>
      <w:r w:rsidR="009A4F98">
        <w:t xml:space="preserve">jobs or </w:t>
      </w:r>
      <w:r w:rsidR="002E4FA2">
        <w:t xml:space="preserve">approximately </w:t>
      </w:r>
      <w:r w:rsidR="005E54A2">
        <w:t>48</w:t>
      </w:r>
      <w:r w:rsidR="009A4F98">
        <w:t xml:space="preserve">% of total regional employment </w:t>
      </w:r>
      <w:r w:rsidR="00AF7D25">
        <w:t>in</w:t>
      </w:r>
      <w:r w:rsidR="009A4F98">
        <w:t xml:space="preserve"> </w:t>
      </w:r>
      <w:r w:rsidR="008B0385">
        <w:t>2014</w:t>
      </w:r>
      <w:r w:rsidR="009A4F98">
        <w:t xml:space="preserve">. </w:t>
      </w:r>
      <w:r w:rsidR="005E54A2">
        <w:t xml:space="preserve">The Agriculture, Forestry, Fishing, &amp; Hunting and Health Care &amp; Social Assistance sectors added </w:t>
      </w:r>
      <w:r w:rsidR="005E54A2" w:rsidRPr="007B291C">
        <w:t>new jobs</w:t>
      </w:r>
      <w:r w:rsidR="00A97425" w:rsidRPr="007B291C">
        <w:t xml:space="preserve"> between </w:t>
      </w:r>
      <w:r w:rsidR="00A97425">
        <w:t>2009</w:t>
      </w:r>
      <w:r w:rsidR="00A97425" w:rsidRPr="007B291C">
        <w:t xml:space="preserve"> and </w:t>
      </w:r>
      <w:r w:rsidR="00A97425">
        <w:t xml:space="preserve">2014 </w:t>
      </w:r>
      <w:r w:rsidR="00747819">
        <w:t xml:space="preserve">but the Health Care &amp; Social Assistance and Government sectors are </w:t>
      </w:r>
      <w:r w:rsidR="00747819" w:rsidRPr="007B291C">
        <w:t xml:space="preserve">projected </w:t>
      </w:r>
      <w:r w:rsidR="00747819">
        <w:t>to</w:t>
      </w:r>
      <w:r w:rsidR="00747819" w:rsidRPr="007B291C">
        <w:t xml:space="preserve"> grow through </w:t>
      </w:r>
      <w:r w:rsidR="00747819">
        <w:t>2024</w:t>
      </w:r>
      <w:r w:rsidR="00A97425" w:rsidRPr="007B291C">
        <w:t>.</w:t>
      </w:r>
      <w:r w:rsidR="00B82647">
        <w:t xml:space="preserve"> </w:t>
      </w:r>
      <w:r w:rsidR="00274E96">
        <w:t>Other industr</w:t>
      </w:r>
      <w:r w:rsidR="00F31074">
        <w:t>y sectors</w:t>
      </w:r>
      <w:r w:rsidR="00274E96">
        <w:t xml:space="preserve"> with notable projected growth </w:t>
      </w:r>
      <w:r w:rsidR="00747819">
        <w:t xml:space="preserve">are </w:t>
      </w:r>
      <w:r w:rsidR="004F6D8A">
        <w:t>Administrative &amp; Support &amp; Waste Management &amp; Remediation Services (+</w:t>
      </w:r>
      <w:r w:rsidR="00747819">
        <w:t>12,064</w:t>
      </w:r>
      <w:r w:rsidR="004F6D8A">
        <w:t xml:space="preserve"> jobs)</w:t>
      </w:r>
      <w:r w:rsidR="00747819">
        <w:t>, Retail Trade (+11,348 jobs),</w:t>
      </w:r>
      <w:r w:rsidR="00762C00">
        <w:t xml:space="preserve"> and</w:t>
      </w:r>
      <w:r w:rsidR="004F6D8A" w:rsidRPr="004F6D8A">
        <w:t xml:space="preserve"> </w:t>
      </w:r>
      <w:r w:rsidR="00412BE9">
        <w:t>Accommodation &amp; Food Services</w:t>
      </w:r>
      <w:r w:rsidR="004F6D8A">
        <w:t xml:space="preserve"> (+</w:t>
      </w:r>
      <w:r w:rsidR="00747819">
        <w:t>8,366</w:t>
      </w:r>
      <w:r w:rsidR="004F6D8A">
        <w:t xml:space="preserve"> jobs)</w:t>
      </w:r>
      <w:r w:rsidR="00274E96">
        <w:t xml:space="preserve">. </w:t>
      </w:r>
      <w:r w:rsidR="004F6D8A">
        <w:t>The</w:t>
      </w:r>
      <w:r w:rsidR="0093569D">
        <w:t xml:space="preserve"> </w:t>
      </w:r>
      <w:r w:rsidR="00F31074">
        <w:t>industry sector</w:t>
      </w:r>
      <w:r w:rsidR="004F6D8A">
        <w:t>s</w:t>
      </w:r>
      <w:r w:rsidR="00F31074">
        <w:t xml:space="preserve"> </w:t>
      </w:r>
      <w:r w:rsidR="004F6D8A">
        <w:t>that are</w:t>
      </w:r>
      <w:r w:rsidR="001C1821">
        <w:t xml:space="preserve"> </w:t>
      </w:r>
      <w:r w:rsidR="00F31074">
        <w:t xml:space="preserve">expected </w:t>
      </w:r>
      <w:r w:rsidR="00E817CF">
        <w:t xml:space="preserve">to contract </w:t>
      </w:r>
      <w:r w:rsidR="00E27ABB">
        <w:t xml:space="preserve">between </w:t>
      </w:r>
      <w:r w:rsidR="008B0385">
        <w:t>2014</w:t>
      </w:r>
      <w:r w:rsidR="00E27ABB">
        <w:t xml:space="preserve"> and </w:t>
      </w:r>
      <w:r w:rsidR="00A97425">
        <w:t>2024</w:t>
      </w:r>
      <w:r w:rsidR="004F6D8A">
        <w:t xml:space="preserve"> are</w:t>
      </w:r>
      <w:r w:rsidR="00747819">
        <w:t xml:space="preserve"> Management of Companies &amp; Enterprises (-1,469 jobs) and</w:t>
      </w:r>
      <w:r w:rsidR="00F31074">
        <w:t xml:space="preserve"> </w:t>
      </w:r>
      <w:r w:rsidR="004F6D8A">
        <w:t>Agriculture, For</w:t>
      </w:r>
      <w:r w:rsidR="00A97425">
        <w:t>estry, Fishing</w:t>
      </w:r>
      <w:r w:rsidR="00412BE9">
        <w:t>,</w:t>
      </w:r>
      <w:r w:rsidR="00A97425">
        <w:t xml:space="preserve"> &amp; Hunting (-</w:t>
      </w:r>
      <w:r w:rsidR="00747819">
        <w:t>488</w:t>
      </w:r>
      <w:r w:rsidR="00A97425">
        <w:t xml:space="preserve">jobs). </w:t>
      </w:r>
    </w:p>
    <w:tbl>
      <w:tblPr>
        <w:tblStyle w:val="MediumShading1-Accent1"/>
        <w:tblW w:w="9475" w:type="dxa"/>
        <w:tblLayout w:type="fixed"/>
        <w:tblCellMar>
          <w:left w:w="115" w:type="dxa"/>
          <w:right w:w="115" w:type="dxa"/>
        </w:tblCellMar>
        <w:tblLook w:val="04A0" w:firstRow="1" w:lastRow="0" w:firstColumn="1" w:lastColumn="0" w:noHBand="0" w:noVBand="1"/>
      </w:tblPr>
      <w:tblGrid>
        <w:gridCol w:w="835"/>
        <w:gridCol w:w="4410"/>
        <w:gridCol w:w="1080"/>
        <w:gridCol w:w="1080"/>
        <w:gridCol w:w="990"/>
        <w:gridCol w:w="1080"/>
      </w:tblGrid>
      <w:tr w:rsidR="00D17552" w:rsidRPr="00C743AD" w14:paraId="335D2E11" w14:textId="77777777" w:rsidTr="005B134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475" w:type="dxa"/>
            <w:gridSpan w:val="6"/>
            <w:tcBorders>
              <w:top w:val="nil"/>
              <w:left w:val="nil"/>
              <w:right w:val="nil"/>
            </w:tcBorders>
            <w:shd w:val="clear" w:color="auto" w:fill="FFFFFF" w:themeFill="background1"/>
            <w:vAlign w:val="bottom"/>
          </w:tcPr>
          <w:p w14:paraId="2AF92716" w14:textId="1378BCCC" w:rsidR="00D17552" w:rsidRPr="00244673" w:rsidRDefault="00D17552" w:rsidP="00315100">
            <w:pPr>
              <w:pStyle w:val="Tabletitle"/>
              <w:rPr>
                <w:b/>
              </w:rPr>
            </w:pPr>
            <w:r w:rsidRPr="00244673">
              <w:rPr>
                <w:b/>
              </w:rPr>
              <w:t>Table 1</w:t>
            </w:r>
            <w:r w:rsidR="00DD0DD0">
              <w:rPr>
                <w:b/>
              </w:rPr>
              <w:t>.1</w:t>
            </w:r>
            <w:r w:rsidRPr="00244673">
              <w:rPr>
                <w:b/>
              </w:rPr>
              <w:t xml:space="preserve">: Current and Projected Jobs and Job Change by Industry </w:t>
            </w:r>
            <w:r w:rsidR="008118E6">
              <w:rPr>
                <w:b/>
              </w:rPr>
              <w:t>Sector</w:t>
            </w:r>
            <w:r w:rsidRPr="00244673">
              <w:rPr>
                <w:b/>
              </w:rPr>
              <w:t xml:space="preserve">, </w:t>
            </w:r>
            <w:r w:rsidR="008B0385">
              <w:rPr>
                <w:b/>
              </w:rPr>
              <w:t>2014</w:t>
            </w:r>
            <w:r w:rsidRPr="00244673">
              <w:rPr>
                <w:b/>
              </w:rPr>
              <w:t xml:space="preserve"> to </w:t>
            </w:r>
            <w:r w:rsidR="008B0385">
              <w:rPr>
                <w:b/>
              </w:rPr>
              <w:t>2024</w:t>
            </w:r>
          </w:p>
        </w:tc>
      </w:tr>
      <w:tr w:rsidR="00D17552" w:rsidRPr="00C743AD" w14:paraId="57A01D8F" w14:textId="77777777" w:rsidTr="004765C8">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18BD0910" w14:textId="77777777" w:rsidR="00D17552" w:rsidRPr="005A2FE3" w:rsidRDefault="00D17552" w:rsidP="00384961">
            <w:pPr>
              <w:pStyle w:val="Tableheaderleft"/>
              <w:jc w:val="center"/>
            </w:pPr>
            <w:r w:rsidRPr="005A2FE3">
              <w:t>NAIC</w:t>
            </w:r>
            <w:r>
              <w:rPr>
                <w:b w:val="0"/>
              </w:rPr>
              <w:t>S</w:t>
            </w:r>
            <w:r w:rsidRPr="005A2FE3">
              <w:t xml:space="preserve"> Code</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271157D9" w14:textId="77777777" w:rsidR="00D17552" w:rsidRPr="000A009A" w:rsidRDefault="00D17552" w:rsidP="00384961">
            <w:pPr>
              <w:pStyle w:val="Tableheaderleft"/>
              <w:jc w:val="center"/>
              <w:cnfStyle w:val="000000100000" w:firstRow="0" w:lastRow="0" w:firstColumn="0" w:lastColumn="0" w:oddVBand="0" w:evenVBand="0" w:oddHBand="1" w:evenHBand="0" w:firstRowFirstColumn="0" w:firstRowLastColumn="0" w:lastRowFirstColumn="0" w:lastRowLastColumn="0"/>
            </w:pPr>
            <w:r w:rsidRPr="000A009A">
              <w:t>Description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5F63D9AD" w14:textId="16C1EE0C" w:rsidR="00D17552" w:rsidRPr="005A2FE3" w:rsidRDefault="008B0385" w:rsidP="00C84F27">
            <w:pPr>
              <w:pStyle w:val="Tableheadercenter"/>
              <w:cnfStyle w:val="000000100000" w:firstRow="0" w:lastRow="0" w:firstColumn="0" w:lastColumn="0" w:oddVBand="0" w:evenVBand="0" w:oddHBand="1" w:evenHBand="0" w:firstRowFirstColumn="0" w:firstRowLastColumn="0" w:lastRowFirstColumn="0" w:lastRowLastColumn="0"/>
            </w:pPr>
            <w:r>
              <w:t>2014</w:t>
            </w:r>
            <w:r w:rsidR="00D17552" w:rsidRPr="005A2FE3">
              <w:t xml:space="preserve"> Jobs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14A2A462" w14:textId="0BC61F89" w:rsidR="00D17552" w:rsidRPr="005A2FE3" w:rsidRDefault="008B0385" w:rsidP="008E0427">
            <w:pPr>
              <w:pStyle w:val="Tableheadercenter"/>
              <w:cnfStyle w:val="000000100000" w:firstRow="0" w:lastRow="0" w:firstColumn="0" w:lastColumn="0" w:oddVBand="0" w:evenVBand="0" w:oddHBand="1" w:evenHBand="0" w:firstRowFirstColumn="0" w:firstRowLastColumn="0" w:lastRowFirstColumn="0" w:lastRowLastColumn="0"/>
            </w:pPr>
            <w:r>
              <w:t>2024</w:t>
            </w:r>
            <w:r w:rsidR="00D17552" w:rsidRPr="005A2FE3">
              <w:t xml:space="preserve"> Jobs</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3E88F19C" w14:textId="665949B6" w:rsidR="00D17552" w:rsidRPr="005A2FE3" w:rsidRDefault="00D17552" w:rsidP="00384961">
            <w:pPr>
              <w:pStyle w:val="Tableheadercenter"/>
              <w:cnfStyle w:val="000000100000" w:firstRow="0" w:lastRow="0" w:firstColumn="0" w:lastColumn="0" w:oddVBand="0" w:evenVBand="0" w:oddHBand="1" w:evenHBand="0" w:firstRowFirstColumn="0" w:firstRowLastColumn="0" w:lastRowFirstColumn="0" w:lastRowLastColumn="0"/>
            </w:pPr>
            <w:r w:rsidRPr="005A2FE3">
              <w:t>Change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26A9B561" w14:textId="0A6DA7F5" w:rsidR="00D17552" w:rsidRPr="005A2FE3" w:rsidRDefault="00D17552" w:rsidP="00C84F27">
            <w:pPr>
              <w:pStyle w:val="Tableheadercenter"/>
              <w:cnfStyle w:val="000000100000" w:firstRow="0" w:lastRow="0" w:firstColumn="0" w:lastColumn="0" w:oddVBand="0" w:evenVBand="0" w:oddHBand="1" w:evenHBand="0" w:firstRowFirstColumn="0" w:firstRowLastColumn="0" w:lastRowFirstColumn="0" w:lastRowLastColumn="0"/>
            </w:pPr>
            <w:r w:rsidRPr="005A2FE3">
              <w:t>% Change</w:t>
            </w:r>
          </w:p>
        </w:tc>
      </w:tr>
      <w:tr w:rsidR="00747819" w:rsidRPr="00C743AD" w14:paraId="30E18ABD"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49AD031" w14:textId="06337B80" w:rsidR="00747819" w:rsidRPr="00C531D1" w:rsidRDefault="00747819" w:rsidP="002D288F">
            <w:pPr>
              <w:pStyle w:val="Tablenormalleft"/>
              <w:jc w:val="left"/>
            </w:pPr>
            <w:r w:rsidRPr="00C531D1">
              <w:t>11</w:t>
            </w:r>
          </w:p>
        </w:tc>
        <w:tc>
          <w:tcPr>
            <w:tcW w:w="44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231A817" w14:textId="56DA9351"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Agriculture, Forestry, Fishing and Hunting</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60A4E5A" w14:textId="06072B89"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109,735</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46C9DEC" w14:textId="7EC66604"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109,247</w:t>
            </w:r>
          </w:p>
        </w:tc>
        <w:tc>
          <w:tcPr>
            <w:tcW w:w="99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5F34EAA" w14:textId="1682BB67"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(488)</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21D80C3" w14:textId="5824447B"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 (0%)</w:t>
            </w:r>
          </w:p>
        </w:tc>
      </w:tr>
      <w:tr w:rsidR="00747819" w:rsidRPr="00C743AD" w14:paraId="19374DD5"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7943C97" w14:textId="764DF7A0" w:rsidR="00747819" w:rsidRPr="00C531D1" w:rsidRDefault="00747819" w:rsidP="002D288F">
            <w:pPr>
              <w:pStyle w:val="Tablenormalleft"/>
              <w:jc w:val="left"/>
            </w:pPr>
            <w:r w:rsidRPr="00C531D1">
              <w:t>21</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CE55514" w14:textId="2F5E92E3"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Mining, Quarrying, and Oil and Gas Extraction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4FDD382" w14:textId="0DF26B76"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343</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8A7E3A5" w14:textId="3929FCF6"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406</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BD4D402" w14:textId="53EF0EEA"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63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ED62ADE" w14:textId="7189C8C7"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18%</w:t>
            </w:r>
          </w:p>
        </w:tc>
      </w:tr>
      <w:tr w:rsidR="00747819" w:rsidRPr="00C743AD" w14:paraId="438278CF"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9B1AD48" w14:textId="08F871B3" w:rsidR="00747819" w:rsidRPr="00C531D1" w:rsidRDefault="00747819" w:rsidP="002D288F">
            <w:pPr>
              <w:pStyle w:val="Tablenormalleft"/>
              <w:jc w:val="left"/>
            </w:pPr>
            <w:r w:rsidRPr="00C531D1">
              <w:t>22</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051993F" w14:textId="1D225EEC"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Utilities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570C38D" w14:textId="3FF854F5"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2,955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20AE4DF" w14:textId="10537943"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3,363</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6FB0106" w14:textId="6657BDDB"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408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6631DFF" w14:textId="69BA999C"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14%</w:t>
            </w:r>
          </w:p>
        </w:tc>
      </w:tr>
      <w:tr w:rsidR="00747819" w:rsidRPr="00C743AD" w14:paraId="27F1BF50"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F616760" w14:textId="7B72ACB7" w:rsidR="00747819" w:rsidRPr="00C531D1" w:rsidRDefault="00747819" w:rsidP="002D288F">
            <w:pPr>
              <w:pStyle w:val="Tablenormalleft"/>
              <w:jc w:val="left"/>
            </w:pPr>
            <w:r w:rsidRPr="00C531D1">
              <w:t>23</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6C7C755" w14:textId="609EAD71"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Construction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936F2A7" w14:textId="0A5079A1"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26,694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C07C449" w14:textId="384BBEB2"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30,908</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10219A2" w14:textId="46457BC9"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4,214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89E3205" w14:textId="199D0196"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16%</w:t>
            </w:r>
          </w:p>
        </w:tc>
      </w:tr>
      <w:tr w:rsidR="00747819" w:rsidRPr="00C743AD" w14:paraId="6FD50B93"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0451D35" w14:textId="170BBD32" w:rsidR="00747819" w:rsidRPr="00C531D1" w:rsidRDefault="00747819" w:rsidP="002D288F">
            <w:pPr>
              <w:pStyle w:val="Tablenormalleft"/>
              <w:jc w:val="left"/>
            </w:pPr>
            <w:r w:rsidRPr="00C531D1">
              <w:t>31</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67E361E" w14:textId="368FF69B"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Manufacturing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2EF221F" w14:textId="3779FE66"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42,572</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AFCE5D8" w14:textId="402CC89C"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45,552</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30A3622" w14:textId="75CF5092"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2,980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9CB85B3" w14:textId="622BA733"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7%</w:t>
            </w:r>
          </w:p>
        </w:tc>
      </w:tr>
      <w:tr w:rsidR="00747819" w:rsidRPr="00C743AD" w14:paraId="1CA1CC58"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B2A07A7" w14:textId="061F2FA5" w:rsidR="00747819" w:rsidRPr="00C531D1" w:rsidRDefault="00747819" w:rsidP="002D288F">
            <w:pPr>
              <w:pStyle w:val="Tablenormalleft"/>
              <w:jc w:val="left"/>
            </w:pPr>
            <w:r w:rsidRPr="00C531D1">
              <w:t>42</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674783E" w14:textId="6A60228F"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Wholesale Trade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D35D5E9" w14:textId="00F62171"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20,234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55C415B" w14:textId="70182087"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24,070</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F4427AE" w14:textId="6669CEF2"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3,836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4B3466D" w14:textId="7F77D946"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19%</w:t>
            </w:r>
          </w:p>
        </w:tc>
      </w:tr>
      <w:tr w:rsidR="00747819" w:rsidRPr="00C743AD" w14:paraId="457D91D0"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629127B" w14:textId="3D82122C" w:rsidR="00747819" w:rsidRPr="00C531D1" w:rsidRDefault="00747819" w:rsidP="002D288F">
            <w:pPr>
              <w:pStyle w:val="Tablenormalleft"/>
              <w:jc w:val="left"/>
            </w:pPr>
            <w:r w:rsidRPr="00C531D1">
              <w:t>44</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0B6A93C" w14:textId="11AF3EE2"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Retail Trade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A87579D" w14:textId="1331C30A"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65,776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538DC68" w14:textId="58027843"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77,124</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16C485E" w14:textId="633FA86A"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11,348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220F5AD" w14:textId="7F1E9D5A"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17%</w:t>
            </w:r>
          </w:p>
        </w:tc>
      </w:tr>
      <w:tr w:rsidR="00747819" w:rsidRPr="00C743AD" w14:paraId="716996FA"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D4FB998" w14:textId="2C09F097" w:rsidR="00747819" w:rsidRPr="00C531D1" w:rsidRDefault="00747819" w:rsidP="002D288F">
            <w:pPr>
              <w:pStyle w:val="Tablenormalleft"/>
              <w:jc w:val="left"/>
            </w:pPr>
            <w:r w:rsidRPr="00C531D1">
              <w:t>48</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68FF5AD" w14:textId="320DC3E7"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Transportation and Warehousing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BD0D8A0" w14:textId="50DB134F"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20,688</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6131F74" w14:textId="029BA24F"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24,084</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6AAA13A" w14:textId="6B73D964"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3,396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AF7D9C1" w14:textId="67290839"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16%</w:t>
            </w:r>
          </w:p>
        </w:tc>
      </w:tr>
      <w:tr w:rsidR="00747819" w:rsidRPr="00C743AD" w14:paraId="11365CA5"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AD1FB2A" w14:textId="66D109A7" w:rsidR="00747819" w:rsidRPr="00C531D1" w:rsidRDefault="00747819" w:rsidP="002D288F">
            <w:pPr>
              <w:pStyle w:val="Tablenormalleft"/>
              <w:jc w:val="left"/>
            </w:pPr>
            <w:r w:rsidRPr="00C531D1">
              <w:t>51</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49D6E52" w14:textId="5E042595"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Information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69E2792" w14:textId="6987D589"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5,565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C60AF1A" w14:textId="7CC4E77C"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5,954</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42A78F3" w14:textId="6536D67B"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389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C6EC98A" w14:textId="3A9E58CE"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7%</w:t>
            </w:r>
          </w:p>
        </w:tc>
      </w:tr>
      <w:tr w:rsidR="00747819" w:rsidRPr="00C743AD" w14:paraId="57EBE56E"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D8CF18B" w14:textId="52A77CC9" w:rsidR="00747819" w:rsidRPr="00C531D1" w:rsidRDefault="00747819" w:rsidP="002D288F">
            <w:pPr>
              <w:pStyle w:val="Tablenormalleft"/>
              <w:jc w:val="left"/>
            </w:pPr>
            <w:r w:rsidRPr="00C531D1">
              <w:t>52</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31B45E6" w14:textId="6C2D2C01"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Finance and Insurance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85571AE" w14:textId="5037326F"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13,963</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0F6F3FB" w14:textId="61262BC3"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14,938</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CFAC0DE" w14:textId="0D41C769"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975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AC5F8F0" w14:textId="1EF91222"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7%</w:t>
            </w:r>
          </w:p>
        </w:tc>
      </w:tr>
      <w:tr w:rsidR="00747819" w:rsidRPr="00C743AD" w14:paraId="6CC307AB"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FCD896D" w14:textId="7D0B3417" w:rsidR="00747819" w:rsidRPr="00C531D1" w:rsidRDefault="00747819" w:rsidP="002D288F">
            <w:pPr>
              <w:pStyle w:val="Tablenormalleft"/>
              <w:jc w:val="left"/>
            </w:pPr>
            <w:r w:rsidRPr="00C531D1">
              <w:t>53</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B1DD39E" w14:textId="20685B6D"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Real Estate and Rental and Leasing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24C3702" w14:textId="4267AB28"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8,321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0E6FCB3" w14:textId="00F7EE8C"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8,989</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87948FB" w14:textId="39F9F105"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668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FF17283" w14:textId="4E37355E"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8%</w:t>
            </w:r>
          </w:p>
        </w:tc>
      </w:tr>
      <w:tr w:rsidR="00747819" w:rsidRPr="00C743AD" w14:paraId="071BE633"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10A2389" w14:textId="1731A96A" w:rsidR="00747819" w:rsidRPr="00C531D1" w:rsidRDefault="00747819" w:rsidP="002D288F">
            <w:pPr>
              <w:pStyle w:val="Tablenormalleft"/>
              <w:jc w:val="left"/>
            </w:pPr>
            <w:r w:rsidRPr="00C531D1">
              <w:t>54</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D01EE59" w14:textId="2C7AA46E"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Professional, Scientific, and Technical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E21B348" w14:textId="54BAD23A"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17,984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DE7C106" w14:textId="46575EE5"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21,478</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EE4E449" w14:textId="2B003F4C"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3,494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E16ADF2" w14:textId="7D6F9BCD"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19%</w:t>
            </w:r>
          </w:p>
        </w:tc>
      </w:tr>
      <w:tr w:rsidR="00747819" w:rsidRPr="00C743AD" w14:paraId="0D58B23C"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45AD85D" w14:textId="6D556D0A" w:rsidR="00747819" w:rsidRPr="00C531D1" w:rsidRDefault="00747819" w:rsidP="002D288F">
            <w:pPr>
              <w:pStyle w:val="Tablenormalleft"/>
              <w:jc w:val="left"/>
            </w:pPr>
            <w:r w:rsidRPr="00C531D1">
              <w:t>55</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C2B5D93" w14:textId="4FB77F71"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Management of Companies and Enterprises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6B1988E" w14:textId="5774DE61"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3,373</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6367CB7" w14:textId="1CF20CAF"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1,904</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35B5F5C" w14:textId="7DE6EF56"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(1,469)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3660EF5" w14:textId="73F670DA"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 (44%)</w:t>
            </w:r>
          </w:p>
        </w:tc>
      </w:tr>
      <w:tr w:rsidR="00747819" w:rsidRPr="00C743AD" w14:paraId="51479B54" w14:textId="77777777" w:rsidTr="00747819">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EBA6A7C" w14:textId="64AACE27" w:rsidR="00747819" w:rsidRPr="00C531D1" w:rsidRDefault="00747819" w:rsidP="002D288F">
            <w:pPr>
              <w:pStyle w:val="Tablenormalleft"/>
              <w:jc w:val="left"/>
            </w:pPr>
            <w:r w:rsidRPr="00C531D1">
              <w:t>56</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093E3D9" w14:textId="0F6F6FA4"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Administrative and Support and Waste Management and Remediation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498DCA3" w14:textId="246CF9AD"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39,064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7554D21" w14:textId="0A486BAE"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51,128</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E7CC4D5" w14:textId="4DE75960"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12,064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397CAB0" w14:textId="5D3ACC0E"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31%</w:t>
            </w:r>
          </w:p>
        </w:tc>
      </w:tr>
      <w:tr w:rsidR="00747819" w:rsidRPr="00C743AD" w14:paraId="1E045032"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31EB3BE" w14:textId="6CBD698D" w:rsidR="00747819" w:rsidRPr="00C531D1" w:rsidRDefault="00747819" w:rsidP="002D288F">
            <w:pPr>
              <w:pStyle w:val="Tablenormalleft"/>
              <w:jc w:val="left"/>
            </w:pPr>
            <w:r w:rsidRPr="00C531D1">
              <w:t>61</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BE24BC8" w14:textId="49079164"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Educational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381DD46" w14:textId="171A9285"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7,772</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81280F3" w14:textId="7EBA6F18"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10,010</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8E9BECB" w14:textId="7B91DAC0"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2,238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A496DC0" w14:textId="07A76B15"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29%</w:t>
            </w:r>
          </w:p>
        </w:tc>
      </w:tr>
      <w:tr w:rsidR="00747819" w:rsidRPr="00C743AD" w14:paraId="74894892"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68541CB" w14:textId="6E7FD06C" w:rsidR="00747819" w:rsidRPr="00C531D1" w:rsidRDefault="00747819" w:rsidP="002D288F">
            <w:pPr>
              <w:pStyle w:val="Tablenormalleft"/>
              <w:jc w:val="left"/>
            </w:pPr>
            <w:r w:rsidRPr="00C531D1">
              <w:t>62</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139C1FD" w14:textId="18D85AA5"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Health Care and Social Assistance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FD3FE6B" w14:textId="5BAE5365"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83,778</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2D44436" w14:textId="394CB965"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104,960</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4499054" w14:textId="3A91DFF5"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21,182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532AFA6" w14:textId="64F08BB4"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25%</w:t>
            </w:r>
          </w:p>
        </w:tc>
      </w:tr>
      <w:tr w:rsidR="00747819" w:rsidRPr="00C743AD" w14:paraId="2D2BFB0A"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1B1FE00" w14:textId="445B9A12" w:rsidR="00747819" w:rsidRPr="00C531D1" w:rsidRDefault="00747819" w:rsidP="002D288F">
            <w:pPr>
              <w:pStyle w:val="Tablenormalleft"/>
              <w:jc w:val="left"/>
            </w:pPr>
            <w:r w:rsidRPr="00C531D1">
              <w:t>71</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46A34AC" w14:textId="72E1CCFE"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Arts, Entertainment, and Recreation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97368D3" w14:textId="4546976A"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6,228</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B89454A" w14:textId="622670D7"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6,651</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C33EB2C" w14:textId="6EC00E94"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423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ED1AECE" w14:textId="5C5BC5CB"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7%</w:t>
            </w:r>
          </w:p>
        </w:tc>
      </w:tr>
      <w:tr w:rsidR="00747819" w:rsidRPr="00C743AD" w14:paraId="09CC98EA"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B4A7F2F" w14:textId="665D6AE5" w:rsidR="00747819" w:rsidRPr="00C531D1" w:rsidRDefault="00747819" w:rsidP="002D288F">
            <w:pPr>
              <w:pStyle w:val="Tablenormalleft"/>
              <w:jc w:val="left"/>
            </w:pPr>
            <w:r w:rsidRPr="00C531D1">
              <w:t>72</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3FDEBAA" w14:textId="6F3465C4"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t>Accommodation</w:t>
            </w:r>
            <w:r w:rsidRPr="00C531D1">
              <w:t xml:space="preserve"> and Food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F46BE6F" w14:textId="2EBA32A5"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42,639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80494D2" w14:textId="7D9F5747"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51,005</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2CE16BA" w14:textId="286F4972"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8,366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74AC09F" w14:textId="449EDFD4"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20%</w:t>
            </w:r>
          </w:p>
        </w:tc>
      </w:tr>
      <w:tr w:rsidR="00747819" w:rsidRPr="00C743AD" w14:paraId="2900DEC0"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912F3F2" w14:textId="6D2AF13F" w:rsidR="00747819" w:rsidRPr="00C531D1" w:rsidRDefault="00747819" w:rsidP="002D288F">
            <w:pPr>
              <w:pStyle w:val="Tablenormalleft"/>
              <w:jc w:val="left"/>
            </w:pPr>
            <w:r w:rsidRPr="00C531D1">
              <w:t>81</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7254176" w14:textId="7DFE086A" w:rsidR="00747819" w:rsidRPr="00C531D1" w:rsidRDefault="00747819" w:rsidP="002D288F">
            <w:pPr>
              <w:pStyle w:val="Tablenormalleft"/>
              <w:jc w:val="left"/>
              <w:cnfStyle w:val="000000010000" w:firstRow="0" w:lastRow="0" w:firstColumn="0" w:lastColumn="0" w:oddVBand="0" w:evenVBand="0" w:oddHBand="0" w:evenHBand="1" w:firstRowFirstColumn="0" w:firstRowLastColumn="0" w:lastRowFirstColumn="0" w:lastRowLastColumn="0"/>
            </w:pPr>
            <w:r w:rsidRPr="00C531D1">
              <w:t>Other Services (except Public Administration)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B4D2EB3" w14:textId="22771837"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28,547</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B0552E8" w14:textId="73A5490F"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D6464A">
              <w:t>31,964</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64A6BDE" w14:textId="288FE534"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 xml:space="preserve">3,417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018F878" w14:textId="6F62F741" w:rsidR="00747819" w:rsidRPr="002D288F"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AA6F84">
              <w:t>12%</w:t>
            </w:r>
          </w:p>
        </w:tc>
      </w:tr>
      <w:tr w:rsidR="00747819" w:rsidRPr="00C743AD" w14:paraId="06C88396"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16E2659" w14:textId="67266643" w:rsidR="00747819" w:rsidRPr="00C531D1" w:rsidRDefault="00747819" w:rsidP="002D288F">
            <w:pPr>
              <w:pStyle w:val="Tablenormalleft"/>
              <w:jc w:val="left"/>
            </w:pPr>
            <w:r w:rsidRPr="00C531D1">
              <w:t>90</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9C1D975" w14:textId="4A7C8BB1" w:rsidR="00747819" w:rsidRPr="00C531D1" w:rsidRDefault="00747819" w:rsidP="002D288F">
            <w:pPr>
              <w:pStyle w:val="Tablenormalleft"/>
              <w:jc w:val="left"/>
              <w:cnfStyle w:val="000000100000" w:firstRow="0" w:lastRow="0" w:firstColumn="0" w:lastColumn="0" w:oddVBand="0" w:evenVBand="0" w:oddHBand="1" w:evenHBand="0" w:firstRowFirstColumn="0" w:firstRowLastColumn="0" w:lastRowFirstColumn="0" w:lastRowLastColumn="0"/>
            </w:pPr>
            <w:r w:rsidRPr="00C531D1">
              <w:t>Government</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CC02F07" w14:textId="7B84858E"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125,995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3D8EAFF" w14:textId="19077353"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D6464A">
              <w:t>133,469</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3BC0F1B" w14:textId="1D5E4033"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 xml:space="preserve">7,474 </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09C49D1" w14:textId="5CFD364C" w:rsidR="00747819" w:rsidRPr="002D288F"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AA6F84">
              <w:t>6%</w:t>
            </w:r>
          </w:p>
        </w:tc>
      </w:tr>
      <w:tr w:rsidR="00747819" w:rsidRPr="00C743AD" w14:paraId="2D289CED"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bottom"/>
          </w:tcPr>
          <w:p w14:paraId="37D791B4" w14:textId="1083D0DE" w:rsidR="00747819" w:rsidRPr="00877A52" w:rsidRDefault="00747819" w:rsidP="00877A52">
            <w:pPr>
              <w:pStyle w:val="Tablenormalleft"/>
            </w:pPr>
            <w:r>
              <w:rPr>
                <w:color w:val="000000"/>
                <w:sz w:val="16"/>
                <w:szCs w:val="16"/>
              </w:rPr>
              <w:lastRenderedPageBreak/>
              <w:t> </w:t>
            </w:r>
          </w:p>
        </w:tc>
        <w:tc>
          <w:tcPr>
            <w:tcW w:w="4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3FD7A62" w14:textId="43EB3915" w:rsidR="00747819" w:rsidRPr="000D68FD" w:rsidRDefault="00747819" w:rsidP="00C531D1">
            <w:pPr>
              <w:pStyle w:val="Tabletotalleft"/>
              <w:jc w:val="left"/>
              <w:cnfStyle w:val="000000010000" w:firstRow="0" w:lastRow="0" w:firstColumn="0" w:lastColumn="0" w:oddVBand="0" w:evenVBand="0" w:oddHBand="0" w:evenHBand="1" w:firstRowFirstColumn="0" w:firstRowLastColumn="0" w:lastRowFirstColumn="0" w:lastRowLastColumn="0"/>
            </w:pPr>
            <w:r>
              <w:t>Total</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E4CF332" w14:textId="2549B0DB" w:rsidR="00747819" w:rsidRPr="002D288F" w:rsidRDefault="00747819" w:rsidP="00747819">
            <w:pPr>
              <w:pStyle w:val="Tabletotalright"/>
              <w:cnfStyle w:val="000000010000" w:firstRow="0" w:lastRow="0" w:firstColumn="0" w:lastColumn="0" w:oddVBand="0" w:evenVBand="0" w:oddHBand="0" w:evenHBand="1" w:firstRowFirstColumn="0" w:firstRowLastColumn="0" w:lastRowFirstColumn="0" w:lastRowLastColumn="0"/>
            </w:pPr>
            <w:r w:rsidRPr="00D6464A">
              <w:t>672,227</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91A86BA" w14:textId="3DEF201A" w:rsidR="00747819" w:rsidRPr="002D288F" w:rsidRDefault="00747819" w:rsidP="00747819">
            <w:pPr>
              <w:pStyle w:val="Tabletotalright"/>
              <w:cnfStyle w:val="000000010000" w:firstRow="0" w:lastRow="0" w:firstColumn="0" w:lastColumn="0" w:oddVBand="0" w:evenVBand="0" w:oddHBand="0" w:evenHBand="1" w:firstRowFirstColumn="0" w:firstRowLastColumn="0" w:lastRowFirstColumn="0" w:lastRowLastColumn="0"/>
            </w:pPr>
            <w:r w:rsidRPr="00D6464A">
              <w:t>757,205</w:t>
            </w:r>
          </w:p>
        </w:tc>
        <w:tc>
          <w:tcPr>
            <w:tcW w:w="99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9AF64F0" w14:textId="4D2B53F8" w:rsidR="00747819" w:rsidRPr="002D288F" w:rsidRDefault="00747819" w:rsidP="00747819">
            <w:pPr>
              <w:pStyle w:val="Tabletotalright"/>
              <w:cnfStyle w:val="000000010000" w:firstRow="0" w:lastRow="0" w:firstColumn="0" w:lastColumn="0" w:oddVBand="0" w:evenVBand="0" w:oddHBand="0" w:evenHBand="1" w:firstRowFirstColumn="0" w:firstRowLastColumn="0" w:lastRowFirstColumn="0" w:lastRowLastColumn="0"/>
            </w:pPr>
            <w:r w:rsidRPr="00AA6F84">
              <w:t>84,978</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8C01D15" w14:textId="6B354C2E" w:rsidR="00747819" w:rsidRPr="002D288F" w:rsidRDefault="00747819" w:rsidP="00747819">
            <w:pPr>
              <w:pStyle w:val="Tabletotalright"/>
              <w:cnfStyle w:val="000000010000" w:firstRow="0" w:lastRow="0" w:firstColumn="0" w:lastColumn="0" w:oddVBand="0" w:evenVBand="0" w:oddHBand="0" w:evenHBand="1" w:firstRowFirstColumn="0" w:firstRowLastColumn="0" w:lastRowFirstColumn="0" w:lastRowLastColumn="0"/>
            </w:pPr>
            <w:r w:rsidRPr="00AA6F84">
              <w:t>13%</w:t>
            </w:r>
          </w:p>
        </w:tc>
      </w:tr>
      <w:tr w:rsidR="00DE27A2" w:rsidRPr="0042666D" w14:paraId="4A48AA32" w14:textId="77777777" w:rsidTr="005B1346">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9475" w:type="dxa"/>
            <w:gridSpan w:val="6"/>
            <w:tcBorders>
              <w:top w:val="single" w:sz="8" w:space="0" w:color="7BA0CD" w:themeColor="accent1" w:themeTint="BF"/>
              <w:left w:val="nil"/>
              <w:bottom w:val="nil"/>
              <w:right w:val="nil"/>
            </w:tcBorders>
            <w:shd w:val="clear" w:color="auto" w:fill="auto"/>
            <w:noWrap/>
          </w:tcPr>
          <w:p w14:paraId="556CCEDC" w14:textId="0B07FD3F" w:rsidR="00DE27A2" w:rsidRPr="00A07E93" w:rsidRDefault="00DE27A2" w:rsidP="005B1346">
            <w:pPr>
              <w:pStyle w:val="Tablefooterlastline"/>
            </w:pPr>
            <w:r w:rsidRPr="00A07E93">
              <w:t>Sou</w:t>
            </w:r>
            <w:r w:rsidR="006C38C7">
              <w:t>rc</w:t>
            </w:r>
            <w:r w:rsidRPr="00A07E93">
              <w:t xml:space="preserve">e: EMSI Complete Data </w:t>
            </w:r>
            <w:r w:rsidR="004F7D7D">
              <w:t>2014.3</w:t>
            </w:r>
          </w:p>
        </w:tc>
      </w:tr>
    </w:tbl>
    <w:p w14:paraId="3C8BB332" w14:textId="7A4508C2" w:rsidR="00FF212C" w:rsidRDefault="00C852DE" w:rsidP="0032768C">
      <w:pPr>
        <w:pStyle w:val="FigureTitle"/>
      </w:pPr>
      <w:r>
        <w:br w:type="page"/>
      </w:r>
      <w:r w:rsidR="00D17552">
        <w:lastRenderedPageBreak/>
        <w:t>F</w:t>
      </w:r>
      <w:r w:rsidR="006D1C88" w:rsidRPr="00562108">
        <w:t xml:space="preserve">igure </w:t>
      </w:r>
      <w:r w:rsidR="00DD0DD0">
        <w:t>1.</w:t>
      </w:r>
      <w:r w:rsidR="006D1C88">
        <w:t>2</w:t>
      </w:r>
      <w:r w:rsidR="006D1C88" w:rsidRPr="00562108">
        <w:t xml:space="preserve">: </w:t>
      </w:r>
      <w:r w:rsidR="00E95674">
        <w:t>Jobs and Job Change by Industry Sector</w:t>
      </w:r>
      <w:r w:rsidR="002059B3">
        <w:t xml:space="preserve"> in </w:t>
      </w:r>
      <w:r w:rsidR="006C38C7">
        <w:t>CCC</w:t>
      </w:r>
      <w:r w:rsidR="002059B3">
        <w:t xml:space="preserve"> </w:t>
      </w:r>
      <w:r w:rsidR="00B101E7">
        <w:t>Economic Region</w:t>
      </w:r>
      <w:r w:rsidR="00E95674">
        <w:t xml:space="preserve">, </w:t>
      </w:r>
      <w:r w:rsidR="008B0385">
        <w:t>2014</w:t>
      </w:r>
      <w:r w:rsidR="00E95674">
        <w:t xml:space="preserve"> to </w:t>
      </w:r>
      <w:r w:rsidR="008B0385">
        <w:t>2024</w:t>
      </w:r>
    </w:p>
    <w:p w14:paraId="7E24BF57" w14:textId="10B81F44" w:rsidR="00F470A4" w:rsidRDefault="00747819" w:rsidP="002059B3">
      <w:r>
        <w:rPr>
          <w:noProof/>
        </w:rPr>
        <w:drawing>
          <wp:inline distT="0" distB="0" distL="0" distR="0" wp14:anchorId="02942070" wp14:editId="0C29176E">
            <wp:extent cx="6086475" cy="3895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07B8FA" w14:textId="112DB736" w:rsidR="005B1346" w:rsidRDefault="00786221" w:rsidP="00786221">
      <w:pPr>
        <w:pStyle w:val="Tablefooterlastline"/>
        <w:jc w:val="right"/>
      </w:pPr>
      <w:r>
        <w:t>Sou</w:t>
      </w:r>
      <w:r w:rsidR="006C38C7">
        <w:t>rc</w:t>
      </w:r>
      <w:r>
        <w:t xml:space="preserve">e: EMSI Complete Data </w:t>
      </w:r>
      <w:r w:rsidR="004F7D7D">
        <w:t>2014.3</w:t>
      </w:r>
    </w:p>
    <w:p w14:paraId="7B46060E" w14:textId="4E37F7E1" w:rsidR="00315100" w:rsidRDefault="00315100" w:rsidP="00315100">
      <w:r>
        <w:t xml:space="preserve">Table </w:t>
      </w:r>
      <w:r w:rsidR="00DD0DD0">
        <w:t>1.</w:t>
      </w:r>
      <w:r>
        <w:t xml:space="preserve">2 shows the employment concentration of the industry sectors in the </w:t>
      </w:r>
      <w:r w:rsidR="006C38C7">
        <w:t>CCC</w:t>
      </w:r>
      <w:r>
        <w:t xml:space="preserve"> </w:t>
      </w:r>
      <w:r w:rsidR="00B101E7">
        <w:t>Economic Region</w:t>
      </w:r>
      <w:r>
        <w:t>, measured in terms of location quotients (LQs). LQs are used to assess national competitiveness by comparing the concentration of employment in a given industry against the concentration of employment for that same industry across the nation. An LQ equal to 1 means that the pe</w:t>
      </w:r>
      <w:r w:rsidR="006C38C7">
        <w:t>rc</w:t>
      </w:r>
      <w:r>
        <w:t>entage of total employment comprised by an industry in the region exactly matches the pe</w:t>
      </w:r>
      <w:r w:rsidR="006C38C7">
        <w:t>rc</w:t>
      </w:r>
      <w:r>
        <w:t xml:space="preserve">entage of total employment comprised by that industry in the nation. An LQ greater than 1 means that the industry comprises a greater proportion of total employment in the region than it does in the nation. </w:t>
      </w:r>
    </w:p>
    <w:p w14:paraId="501F2B48" w14:textId="1CF3FE83" w:rsidR="00315100" w:rsidRDefault="00315100" w:rsidP="00315100">
      <w:r>
        <w:t>High LQs (usually anything greater than 1.2) are an indication that the region has a comparative advantage or specialization in certain industries relative to the rest of the nation, or potentially to other competing regions. When evaluated jointly with job counts and expected job growth, high LQs give a sense of the industry sectors that have the greatest potential for workfo</w:t>
      </w:r>
      <w:r w:rsidR="006C38C7">
        <w:t>rc</w:t>
      </w:r>
      <w:r>
        <w:t>e investment and where regional economic development professionals are likely to be focusing their efforts. This information is of particular importance to educators seeking to engage in larger conversations with other organizations about aligning program offerings with workfo</w:t>
      </w:r>
      <w:r w:rsidR="006C38C7">
        <w:t>rc</w:t>
      </w:r>
      <w:r>
        <w:t>e needs</w:t>
      </w:r>
      <w:r w:rsidR="00B82647">
        <w:t xml:space="preserve">. </w:t>
      </w:r>
    </w:p>
    <w:tbl>
      <w:tblPr>
        <w:tblStyle w:val="MediumShading1-Accent1"/>
        <w:tblW w:w="9468" w:type="dxa"/>
        <w:tblLayout w:type="fixed"/>
        <w:tblLook w:val="04A0" w:firstRow="1" w:lastRow="0" w:firstColumn="1" w:lastColumn="0" w:noHBand="0" w:noVBand="1"/>
      </w:tblPr>
      <w:tblGrid>
        <w:gridCol w:w="901"/>
        <w:gridCol w:w="6407"/>
        <w:gridCol w:w="1080"/>
        <w:gridCol w:w="1080"/>
      </w:tblGrid>
      <w:tr w:rsidR="00865AE7" w:rsidRPr="000E4CEE" w14:paraId="5E4C3F66" w14:textId="77777777" w:rsidTr="006E19CC">
        <w:trPr>
          <w:cnfStyle w:val="100000000000" w:firstRow="1" w:lastRow="0" w:firstColumn="0" w:lastColumn="0" w:oddVBand="0" w:evenVBand="0" w:oddHBand="0"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9468" w:type="dxa"/>
            <w:gridSpan w:val="4"/>
            <w:tcBorders>
              <w:top w:val="nil"/>
              <w:left w:val="nil"/>
              <w:right w:val="nil"/>
            </w:tcBorders>
            <w:shd w:val="clear" w:color="auto" w:fill="auto"/>
            <w:hideMark/>
          </w:tcPr>
          <w:p w14:paraId="454E0CC2" w14:textId="1DF0AAEF" w:rsidR="00865AE7" w:rsidRPr="00244673" w:rsidRDefault="00865AE7" w:rsidP="006E19CC">
            <w:pPr>
              <w:pStyle w:val="Tabletitle"/>
              <w:rPr>
                <w:b/>
              </w:rPr>
            </w:pPr>
            <w:r w:rsidRPr="00244673">
              <w:rPr>
                <w:b/>
              </w:rPr>
              <w:t xml:space="preserve">Table </w:t>
            </w:r>
            <w:r w:rsidR="00257102">
              <w:rPr>
                <w:b/>
              </w:rPr>
              <w:t>1.</w:t>
            </w:r>
            <w:r w:rsidRPr="00244673">
              <w:rPr>
                <w:b/>
              </w:rPr>
              <w:t xml:space="preserve">2: </w:t>
            </w:r>
            <w:r w:rsidR="006E19CC">
              <w:rPr>
                <w:b/>
              </w:rPr>
              <w:t xml:space="preserve">employment </w:t>
            </w:r>
            <w:r w:rsidRPr="00244673">
              <w:rPr>
                <w:b/>
              </w:rPr>
              <w:t>Concentration</w:t>
            </w:r>
            <w:r w:rsidR="006E19CC">
              <w:rPr>
                <w:b/>
              </w:rPr>
              <w:t xml:space="preserve"> by industry sector in </w:t>
            </w:r>
            <w:r w:rsidR="006C38C7">
              <w:rPr>
                <w:b/>
              </w:rPr>
              <w:t>CCC</w:t>
            </w:r>
            <w:r w:rsidR="006E19CC">
              <w:rPr>
                <w:b/>
              </w:rPr>
              <w:t xml:space="preserve"> </w:t>
            </w:r>
            <w:r w:rsidR="00B101E7">
              <w:rPr>
                <w:b/>
              </w:rPr>
              <w:t>Economic Region</w:t>
            </w:r>
            <w:r w:rsidR="006E19CC">
              <w:rPr>
                <w:b/>
              </w:rPr>
              <w:t xml:space="preserve">, </w:t>
            </w:r>
            <w:r w:rsidR="008B0385">
              <w:rPr>
                <w:b/>
              </w:rPr>
              <w:t>2014</w:t>
            </w:r>
            <w:r w:rsidR="006E19CC">
              <w:rPr>
                <w:b/>
              </w:rPr>
              <w:t xml:space="preserve"> and </w:t>
            </w:r>
            <w:r w:rsidR="008B0385">
              <w:rPr>
                <w:b/>
              </w:rPr>
              <w:t>2024</w:t>
            </w:r>
          </w:p>
        </w:tc>
      </w:tr>
      <w:tr w:rsidR="00865AE7" w:rsidRPr="000E4CEE" w14:paraId="5B7BEDED" w14:textId="77777777" w:rsidTr="00DB6CF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59133DAB" w14:textId="7D214A3C" w:rsidR="00865AE7" w:rsidRPr="000E4CEE" w:rsidRDefault="00865AE7" w:rsidP="00384961">
            <w:pPr>
              <w:pStyle w:val="Tableheaderleft"/>
              <w:jc w:val="center"/>
            </w:pPr>
            <w:r w:rsidRPr="000E4CEE">
              <w:t>NAICS Code</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5231BBE9" w14:textId="0129E21A" w:rsidR="00865AE7" w:rsidRPr="000E4CEE" w:rsidRDefault="00865AE7" w:rsidP="00384961">
            <w:pPr>
              <w:pStyle w:val="Tableheaderleft"/>
              <w:jc w:val="center"/>
              <w:cnfStyle w:val="000000100000" w:firstRow="0" w:lastRow="0" w:firstColumn="0" w:lastColumn="0" w:oddVBand="0" w:evenVBand="0" w:oddHBand="1" w:evenHBand="0" w:firstRowFirstColumn="0" w:firstRowLastColumn="0" w:lastRowFirstColumn="0" w:lastRowLastColumn="0"/>
            </w:pPr>
            <w:r w:rsidRPr="000E4CEE">
              <w:t>Description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5902BDF9" w14:textId="77DFBFFA" w:rsidR="00865AE7" w:rsidRPr="000E4CEE" w:rsidRDefault="008B0385" w:rsidP="00C84F27">
            <w:pPr>
              <w:pStyle w:val="Tableheadercenter"/>
              <w:cnfStyle w:val="000000100000" w:firstRow="0" w:lastRow="0" w:firstColumn="0" w:lastColumn="0" w:oddVBand="0" w:evenVBand="0" w:oddHBand="1" w:evenHBand="0" w:firstRowFirstColumn="0" w:firstRowLastColumn="0" w:lastRowFirstColumn="0" w:lastRowLastColumn="0"/>
            </w:pPr>
            <w:r>
              <w:t>2014</w:t>
            </w:r>
            <w:r w:rsidR="00865AE7" w:rsidRPr="000E4CEE">
              <w:t xml:space="preserve"> Location Quotient</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593EDB9D" w14:textId="127A6A52" w:rsidR="00865AE7" w:rsidRPr="000E4CEE" w:rsidRDefault="008B0385" w:rsidP="008E0427">
            <w:pPr>
              <w:pStyle w:val="Tableheadercenter"/>
              <w:cnfStyle w:val="000000100000" w:firstRow="0" w:lastRow="0" w:firstColumn="0" w:lastColumn="0" w:oddVBand="0" w:evenVBand="0" w:oddHBand="1" w:evenHBand="0" w:firstRowFirstColumn="0" w:firstRowLastColumn="0" w:lastRowFirstColumn="0" w:lastRowLastColumn="0"/>
            </w:pPr>
            <w:r>
              <w:t>2024</w:t>
            </w:r>
            <w:r w:rsidR="00865AE7" w:rsidRPr="000E4CEE">
              <w:t xml:space="preserve"> Location Quotient</w:t>
            </w:r>
          </w:p>
        </w:tc>
      </w:tr>
      <w:tr w:rsidR="00747819" w:rsidRPr="000E4CEE" w14:paraId="3F9E29FF"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E290C7D" w14:textId="1BD1DFA2" w:rsidR="00747819" w:rsidRPr="007230AC" w:rsidRDefault="00747819" w:rsidP="009E6AF1">
            <w:pPr>
              <w:pStyle w:val="Tablenormalleft"/>
              <w:jc w:val="left"/>
            </w:pPr>
            <w:r w:rsidRPr="007230AC">
              <w:lastRenderedPageBreak/>
              <w:t>11</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7D0E87B" w14:textId="205CC230"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Agriculture, Forestry, Fishing and Hunting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473A50E" w14:textId="39300562"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13.28</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38FD2FF" w14:textId="1FBF93E4"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13.39</w:t>
            </w:r>
          </w:p>
        </w:tc>
      </w:tr>
      <w:tr w:rsidR="00747819" w:rsidRPr="000E4CEE" w14:paraId="0BE0377C"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1BDFFAB" w14:textId="38783C61" w:rsidR="00747819" w:rsidRPr="007230AC" w:rsidRDefault="00747819" w:rsidP="009E6AF1">
            <w:pPr>
              <w:pStyle w:val="Tablenormalleft"/>
              <w:jc w:val="left"/>
            </w:pPr>
            <w:r w:rsidRPr="007230AC">
              <w:t>21</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1060967" w14:textId="5FC48DD6"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Mining, Quarrying, and Oil and Gas Extraction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FA39CCB" w14:textId="79C28CFB"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0.09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2C2F290" w14:textId="30304DF8"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0.09</w:t>
            </w:r>
          </w:p>
        </w:tc>
      </w:tr>
      <w:tr w:rsidR="00747819" w:rsidRPr="000E4CEE" w14:paraId="5205CA54"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3BD5A3B" w14:textId="17295AF7" w:rsidR="00747819" w:rsidRPr="007230AC" w:rsidRDefault="00747819" w:rsidP="009E6AF1">
            <w:pPr>
              <w:pStyle w:val="Tablenormalleft"/>
              <w:jc w:val="left"/>
            </w:pPr>
            <w:r w:rsidRPr="007230AC">
              <w:t>22</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23B4D2A" w14:textId="3A436769"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Utilities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80BF047" w14:textId="5A23138A"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1.22</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D0DB5D7" w14:textId="4900AC5C"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1.38</w:t>
            </w:r>
          </w:p>
        </w:tc>
      </w:tr>
      <w:tr w:rsidR="00747819" w:rsidRPr="000E4CEE" w14:paraId="6035E8CD"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32FCE75" w14:textId="6F3DDD71" w:rsidR="00747819" w:rsidRPr="007230AC" w:rsidRDefault="00747819" w:rsidP="009E6AF1">
            <w:pPr>
              <w:pStyle w:val="Tablenormalleft"/>
              <w:jc w:val="left"/>
            </w:pPr>
            <w:r w:rsidRPr="007230AC">
              <w:t>23</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C104575" w14:textId="4E065D88"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Construction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7456302" w14:textId="0DB270EB"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0.77</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BF424D5" w14:textId="27B65603"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0.79</w:t>
            </w:r>
          </w:p>
        </w:tc>
      </w:tr>
      <w:tr w:rsidR="00747819" w:rsidRPr="000E4CEE" w14:paraId="308261C2"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F30F032" w14:textId="1AD5F00D" w:rsidR="00747819" w:rsidRPr="007230AC" w:rsidRDefault="00747819" w:rsidP="009E6AF1">
            <w:pPr>
              <w:pStyle w:val="Tablenormalleft"/>
              <w:jc w:val="left"/>
            </w:pPr>
            <w:r w:rsidRPr="007230AC">
              <w:t>31</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37B5AF8" w14:textId="3219FE58"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Manufacturing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E5DCDC3" w14:textId="5BCF96D5"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0.79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FAB7A5F" w14:textId="643A0B85"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0.83</w:t>
            </w:r>
          </w:p>
        </w:tc>
      </w:tr>
      <w:tr w:rsidR="00747819" w:rsidRPr="000E4CEE" w14:paraId="6EBDA88E"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4ED21C0" w14:textId="3C52A499" w:rsidR="00747819" w:rsidRPr="007230AC" w:rsidRDefault="00747819" w:rsidP="009E6AF1">
            <w:pPr>
              <w:pStyle w:val="Tablenormalleft"/>
              <w:jc w:val="left"/>
            </w:pPr>
            <w:r w:rsidRPr="007230AC">
              <w:t>42</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8348728" w14:textId="0080A839"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Wholesale Trade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2320384" w14:textId="15517037"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0.76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3BDADB5" w14:textId="794F009D"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0.81</w:t>
            </w:r>
          </w:p>
        </w:tc>
      </w:tr>
      <w:tr w:rsidR="00747819" w:rsidRPr="000E4CEE" w14:paraId="4E89A74E"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CF84B70" w14:textId="27DBF2BF" w:rsidR="00747819" w:rsidRPr="007230AC" w:rsidRDefault="00747819" w:rsidP="009E6AF1">
            <w:pPr>
              <w:pStyle w:val="Tablenormalleft"/>
              <w:jc w:val="left"/>
            </w:pPr>
            <w:r w:rsidRPr="007230AC">
              <w:t>44</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C7311A1" w14:textId="5AE7EBB8"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Retail Trade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57836C3" w14:textId="7474CC07"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0.93</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FD9B88C" w14:textId="5FF5003E"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1.00</w:t>
            </w:r>
          </w:p>
        </w:tc>
      </w:tr>
      <w:tr w:rsidR="00747819" w:rsidRPr="000E4CEE" w14:paraId="258B7975"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1E42A04" w14:textId="4DC0613D" w:rsidR="00747819" w:rsidRPr="007230AC" w:rsidRDefault="00747819" w:rsidP="009E6AF1">
            <w:pPr>
              <w:pStyle w:val="Tablenormalleft"/>
              <w:jc w:val="left"/>
            </w:pPr>
            <w:r w:rsidRPr="007230AC">
              <w:t>48</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92C8449" w14:textId="28BA9CEC"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Transportation and Warehousing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BDBE47F" w14:textId="76F151E4"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0.95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DD9BF43" w14:textId="73AAC12D"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0.98</w:t>
            </w:r>
          </w:p>
        </w:tc>
      </w:tr>
      <w:tr w:rsidR="00747819" w:rsidRPr="000E4CEE" w14:paraId="24AE8355"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2BF4AC1" w14:textId="4DBB9B2D" w:rsidR="00747819" w:rsidRPr="007230AC" w:rsidRDefault="00747819" w:rsidP="009E6AF1">
            <w:pPr>
              <w:pStyle w:val="Tablenormalleft"/>
              <w:jc w:val="left"/>
            </w:pPr>
            <w:r w:rsidRPr="007230AC">
              <w:t>51</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FA3B25E" w14:textId="088C4D77"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Information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5FE9B7D" w14:textId="3C8CCA60"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0.45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39FCE00" w14:textId="2E687DC3"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0.46</w:t>
            </w:r>
          </w:p>
        </w:tc>
      </w:tr>
      <w:tr w:rsidR="00747819" w:rsidRPr="000E4CEE" w14:paraId="3A11649F"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5F12999" w14:textId="6E9834D4" w:rsidR="00747819" w:rsidRPr="007230AC" w:rsidRDefault="00747819" w:rsidP="009E6AF1">
            <w:pPr>
              <w:pStyle w:val="Tablenormalleft"/>
              <w:jc w:val="left"/>
            </w:pPr>
            <w:r w:rsidRPr="007230AC">
              <w:t>52</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FD5A4A1" w14:textId="1BC705C5"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Finance and Insurance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2198A5B" w14:textId="0B2A536B"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0.51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8DDA50C" w14:textId="2722F3F5"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0.50</w:t>
            </w:r>
          </w:p>
        </w:tc>
      </w:tr>
      <w:tr w:rsidR="00747819" w:rsidRPr="000E4CEE" w14:paraId="5CB8D93E"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84E087E" w14:textId="3FF12E88" w:rsidR="00747819" w:rsidRPr="007230AC" w:rsidRDefault="00747819" w:rsidP="009E6AF1">
            <w:pPr>
              <w:pStyle w:val="Tablenormalleft"/>
              <w:jc w:val="left"/>
            </w:pPr>
            <w:r w:rsidRPr="007230AC">
              <w:t>53</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4A8B6B7" w14:textId="784F65CD"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Real Estate and Rental and Leasing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7768EBC" w14:textId="28E5737E"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0.75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A4E6656" w14:textId="77A18A8E"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0.76</w:t>
            </w:r>
          </w:p>
        </w:tc>
      </w:tr>
      <w:tr w:rsidR="00747819" w:rsidRPr="000E4CEE" w14:paraId="3A58C8C4"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A72FDDC" w14:textId="5709112B" w:rsidR="00747819" w:rsidRPr="007230AC" w:rsidRDefault="00747819" w:rsidP="009E6AF1">
            <w:pPr>
              <w:pStyle w:val="Tablenormalleft"/>
              <w:jc w:val="left"/>
            </w:pPr>
            <w:r w:rsidRPr="007230AC">
              <w:t>54</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881AEB2" w14:textId="0677E6D3"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Professional, Scientific, and Technical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217D155" w14:textId="3416D999"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0.43</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6C68E94" w14:textId="717E1065"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0.42</w:t>
            </w:r>
          </w:p>
        </w:tc>
      </w:tr>
      <w:tr w:rsidR="00747819" w:rsidRPr="000E4CEE" w14:paraId="38C1E6C3"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B1ACA8F" w14:textId="1F3E038E" w:rsidR="00747819" w:rsidRPr="007230AC" w:rsidRDefault="00747819" w:rsidP="009E6AF1">
            <w:pPr>
              <w:pStyle w:val="Tablenormalleft"/>
              <w:jc w:val="left"/>
            </w:pPr>
            <w:r w:rsidRPr="007230AC">
              <w:t>55</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DD9DB77" w14:textId="0E65A36D"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Management of Companies and Enterprises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9C54676" w14:textId="3E9D142E"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0.36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602CFBBA" w14:textId="6DABC09B"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0.18</w:t>
            </w:r>
          </w:p>
        </w:tc>
      </w:tr>
      <w:tr w:rsidR="00747819" w:rsidRPr="000E4CEE" w14:paraId="3A939698" w14:textId="77777777" w:rsidTr="00747819">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1BE98AA" w14:textId="491CC713" w:rsidR="00747819" w:rsidRPr="007230AC" w:rsidRDefault="00747819" w:rsidP="009E6AF1">
            <w:pPr>
              <w:pStyle w:val="Tablenormalleft"/>
              <w:jc w:val="left"/>
            </w:pPr>
            <w:r w:rsidRPr="007230AC">
              <w:t>56</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7F372B9" w14:textId="6444EE43"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Administrative and Support and Waste Management and Remediation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184E932" w14:textId="7F40339D"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0.92</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2F2E04D" w14:textId="3EF59199"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1.01</w:t>
            </w:r>
          </w:p>
        </w:tc>
      </w:tr>
      <w:tr w:rsidR="00747819" w:rsidRPr="000E4CEE" w14:paraId="092048AF"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B051249" w14:textId="79F5FED5" w:rsidR="00747819" w:rsidRPr="007230AC" w:rsidRDefault="00747819" w:rsidP="009E6AF1">
            <w:pPr>
              <w:pStyle w:val="Tablenormalleft"/>
              <w:jc w:val="left"/>
            </w:pPr>
            <w:r w:rsidRPr="007230AC">
              <w:t>61</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C9B5124" w14:textId="58C2F060"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Educational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D8484A8" w14:textId="2FE9CBC3"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0.46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FE1EBD0" w14:textId="64B926D5"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0.49</w:t>
            </w:r>
          </w:p>
        </w:tc>
      </w:tr>
      <w:tr w:rsidR="00747819" w:rsidRPr="000E4CEE" w14:paraId="5B4F98B8"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69104F1" w14:textId="5EFF148A" w:rsidR="00747819" w:rsidRPr="007230AC" w:rsidRDefault="00747819" w:rsidP="009E6AF1">
            <w:pPr>
              <w:pStyle w:val="Tablenormalleft"/>
              <w:jc w:val="left"/>
            </w:pPr>
            <w:r w:rsidRPr="007230AC">
              <w:t>62</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4776132" w14:textId="43EAE756"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Health Care and Social Assistance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2D8BE97" w14:textId="42428327"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1.00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0147168" w14:textId="12598440"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1.02</w:t>
            </w:r>
          </w:p>
        </w:tc>
      </w:tr>
      <w:tr w:rsidR="00747819" w:rsidRPr="000E4CEE" w14:paraId="7396C8DB"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7A2A117" w14:textId="22815386" w:rsidR="00747819" w:rsidRPr="007230AC" w:rsidRDefault="00747819" w:rsidP="009E6AF1">
            <w:pPr>
              <w:pStyle w:val="Tablenormalleft"/>
              <w:jc w:val="left"/>
            </w:pPr>
            <w:r w:rsidRPr="007230AC">
              <w:t>71</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550AA574" w14:textId="57116E70"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Arts, Entertainment, and Recreation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47A3287" w14:textId="3D8CA523"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0.56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2EF12149" w14:textId="6438A19E"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0.52</w:t>
            </w:r>
          </w:p>
        </w:tc>
      </w:tr>
      <w:tr w:rsidR="00747819" w:rsidRPr="000E4CEE" w14:paraId="13BE599B"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AA46381" w14:textId="7ABDBC4F" w:rsidR="00747819" w:rsidRPr="007230AC" w:rsidRDefault="00747819" w:rsidP="009E6AF1">
            <w:pPr>
              <w:pStyle w:val="Tablenormalleft"/>
              <w:jc w:val="left"/>
            </w:pPr>
            <w:r w:rsidRPr="007230AC">
              <w:t>72</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F8A4613" w14:textId="7D79A771"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t>Accommodation</w:t>
            </w:r>
            <w:r w:rsidRPr="007230AC">
              <w:t xml:space="preserve"> and Food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6AF0445" w14:textId="0636361B"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0.76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3439BD7" w14:textId="1D1249E7" w:rsidR="00747819" w:rsidRPr="00D255D9" w:rsidRDefault="00747819" w:rsidP="00747819">
            <w:pPr>
              <w:pStyle w:val="Tablenormalright"/>
              <w:cnfStyle w:val="000000100000" w:firstRow="0" w:lastRow="0" w:firstColumn="0" w:lastColumn="0" w:oddVBand="0" w:evenVBand="0" w:oddHBand="1" w:evenHBand="0" w:firstRowFirstColumn="0" w:firstRowLastColumn="0" w:lastRowFirstColumn="0" w:lastRowLastColumn="0"/>
            </w:pPr>
            <w:r w:rsidRPr="000F7989">
              <w:t>0.80</w:t>
            </w:r>
          </w:p>
        </w:tc>
      </w:tr>
      <w:tr w:rsidR="00747819" w:rsidRPr="000E4CEE" w14:paraId="1323D04A" w14:textId="77777777" w:rsidTr="00747819">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8804243" w14:textId="74B6CBFF" w:rsidR="00747819" w:rsidRPr="007230AC" w:rsidRDefault="00747819" w:rsidP="009E6AF1">
            <w:pPr>
              <w:pStyle w:val="Tablenormalleft"/>
              <w:jc w:val="left"/>
            </w:pPr>
            <w:r w:rsidRPr="007230AC">
              <w:t>81</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3B7ACB99" w14:textId="20616B30" w:rsidR="00747819" w:rsidRPr="007230AC" w:rsidRDefault="00747819" w:rsidP="009E6AF1">
            <w:pPr>
              <w:pStyle w:val="Tablenormalleft"/>
              <w:jc w:val="left"/>
              <w:cnfStyle w:val="000000010000" w:firstRow="0" w:lastRow="0" w:firstColumn="0" w:lastColumn="0" w:oddVBand="0" w:evenVBand="0" w:oddHBand="0" w:evenHBand="1" w:firstRowFirstColumn="0" w:firstRowLastColumn="0" w:lastRowFirstColumn="0" w:lastRowLastColumn="0"/>
            </w:pPr>
            <w:r w:rsidRPr="007230AC">
              <w:t>Other Services (except Public Administration)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70E17C74" w14:textId="4B14380E"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0.89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570601C" w14:textId="4E1E8AA7" w:rsidR="00747819" w:rsidRPr="00D255D9" w:rsidRDefault="00747819" w:rsidP="00747819">
            <w:pPr>
              <w:pStyle w:val="Tablenormalright"/>
              <w:cnfStyle w:val="000000010000" w:firstRow="0" w:lastRow="0" w:firstColumn="0" w:lastColumn="0" w:oddVBand="0" w:evenVBand="0" w:oddHBand="0" w:evenHBand="1" w:firstRowFirstColumn="0" w:firstRowLastColumn="0" w:lastRowFirstColumn="0" w:lastRowLastColumn="0"/>
            </w:pPr>
            <w:r w:rsidRPr="000F7989">
              <w:t>0.89</w:t>
            </w:r>
          </w:p>
        </w:tc>
      </w:tr>
      <w:tr w:rsidR="00747819" w:rsidRPr="000E4CEE" w14:paraId="05FD5060" w14:textId="77777777" w:rsidTr="0074781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0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2396BA1" w14:textId="2093926C" w:rsidR="00747819" w:rsidRPr="007230AC" w:rsidRDefault="00747819" w:rsidP="009E6AF1">
            <w:pPr>
              <w:pStyle w:val="Tablenormalleft"/>
              <w:jc w:val="left"/>
            </w:pPr>
            <w:r w:rsidRPr="007230AC">
              <w:t>90</w:t>
            </w:r>
          </w:p>
        </w:tc>
        <w:tc>
          <w:tcPr>
            <w:tcW w:w="64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FE2F581" w14:textId="378E3D9A" w:rsidR="00747819" w:rsidRPr="007230AC" w:rsidRDefault="00747819" w:rsidP="009E6AF1">
            <w:pPr>
              <w:pStyle w:val="Tablenormalleft"/>
              <w:jc w:val="left"/>
              <w:cnfStyle w:val="000000100000" w:firstRow="0" w:lastRow="0" w:firstColumn="0" w:lastColumn="0" w:oddVBand="0" w:evenVBand="0" w:oddHBand="1" w:evenHBand="0" w:firstRowFirstColumn="0" w:firstRowLastColumn="0" w:lastRowFirstColumn="0" w:lastRowLastColumn="0"/>
            </w:pPr>
            <w:r w:rsidRPr="007230AC">
              <w:t>Government</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0F10CA2" w14:textId="6D1C1C9F" w:rsidR="00747819" w:rsidRPr="00D7050B" w:rsidRDefault="00747819" w:rsidP="00747819">
            <w:pPr>
              <w:pStyle w:val="Tablenormalright"/>
              <w:cnfStyle w:val="000000100000" w:firstRow="0" w:lastRow="0" w:firstColumn="0" w:lastColumn="0" w:oddVBand="0" w:evenVBand="0" w:oddHBand="1" w:evenHBand="0" w:firstRowFirstColumn="0" w:firstRowLastColumn="0" w:lastRowFirstColumn="0" w:lastRowLastColumn="0"/>
              <w:rPr>
                <w:bCs/>
              </w:rPr>
            </w:pPr>
            <w:r w:rsidRPr="000F7989">
              <w:t>1.19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A7E9A97" w14:textId="3ED63626" w:rsidR="00747819" w:rsidRPr="00D7050B" w:rsidRDefault="00747819" w:rsidP="00747819">
            <w:pPr>
              <w:pStyle w:val="Tablenormalright"/>
              <w:cnfStyle w:val="000000100000" w:firstRow="0" w:lastRow="0" w:firstColumn="0" w:lastColumn="0" w:oddVBand="0" w:evenVBand="0" w:oddHBand="1" w:evenHBand="0" w:firstRowFirstColumn="0" w:firstRowLastColumn="0" w:lastRowFirstColumn="0" w:lastRowLastColumn="0"/>
              <w:rPr>
                <w:bCs/>
              </w:rPr>
            </w:pPr>
            <w:r w:rsidRPr="000F7989">
              <w:t>1.18</w:t>
            </w:r>
          </w:p>
        </w:tc>
      </w:tr>
      <w:tr w:rsidR="00865AE7" w:rsidRPr="000E4CEE" w14:paraId="25BF06B0" w14:textId="77777777" w:rsidTr="00255FF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9468" w:type="dxa"/>
            <w:gridSpan w:val="4"/>
            <w:tcBorders>
              <w:left w:val="nil"/>
              <w:bottom w:val="nil"/>
              <w:right w:val="nil"/>
            </w:tcBorders>
            <w:shd w:val="clear" w:color="auto" w:fill="auto"/>
            <w:noWrap/>
            <w:vAlign w:val="bottom"/>
          </w:tcPr>
          <w:p w14:paraId="5FFA709C" w14:textId="7F496182" w:rsidR="00865AE7" w:rsidRPr="00A07E93" w:rsidRDefault="00865AE7" w:rsidP="00865AE7">
            <w:pPr>
              <w:pStyle w:val="Tablefooterlastline"/>
              <w:rPr>
                <w:szCs w:val="18"/>
              </w:rPr>
            </w:pPr>
            <w:r w:rsidRPr="00A07E93">
              <w:t>Sou</w:t>
            </w:r>
            <w:r w:rsidR="006C38C7">
              <w:t>rc</w:t>
            </w:r>
            <w:r w:rsidRPr="00A07E93">
              <w:t xml:space="preserve">e: EMSI Complete Data </w:t>
            </w:r>
            <w:r w:rsidR="004F7D7D">
              <w:t>2014.3</w:t>
            </w:r>
          </w:p>
        </w:tc>
      </w:tr>
    </w:tbl>
    <w:p w14:paraId="3BC20E33" w14:textId="7A0C9B6A" w:rsidR="00B659FD" w:rsidRPr="00311DA5" w:rsidRDefault="00B659FD" w:rsidP="00FE5A48">
      <w:pPr>
        <w:rPr>
          <w:color w:val="000000"/>
        </w:rPr>
      </w:pPr>
      <w:r>
        <w:t>T</w:t>
      </w:r>
      <w:r w:rsidRPr="00CD6175">
        <w:t xml:space="preserve">he following </w:t>
      </w:r>
      <w:r w:rsidR="00747819">
        <w:t>three</w:t>
      </w:r>
      <w:r w:rsidR="00C531D1">
        <w:t xml:space="preserve"> industry sectors</w:t>
      </w:r>
      <w:r w:rsidRPr="00CD6175">
        <w:t xml:space="preserve"> have </w:t>
      </w:r>
      <w:r>
        <w:t xml:space="preserve">the </w:t>
      </w:r>
      <w:r w:rsidRPr="00CD6175">
        <w:t>high</w:t>
      </w:r>
      <w:r>
        <w:t>est</w:t>
      </w:r>
      <w:r w:rsidRPr="00CD6175">
        <w:t xml:space="preserve"> </w:t>
      </w:r>
      <w:r>
        <w:t xml:space="preserve">location quotients in the </w:t>
      </w:r>
      <w:r w:rsidR="006C38C7">
        <w:t>CCC</w:t>
      </w:r>
      <w:r>
        <w:t xml:space="preserve"> </w:t>
      </w:r>
      <w:r w:rsidR="00B101E7">
        <w:t>Economic Region</w:t>
      </w:r>
      <w:r w:rsidRPr="00CD6175">
        <w:t xml:space="preserve">: </w:t>
      </w:r>
      <w:r w:rsidR="00747819">
        <w:t xml:space="preserve">Agriculture, Forestry, Fishing, &amp; Hunting </w:t>
      </w:r>
      <w:r w:rsidR="002B1A5D">
        <w:t>(</w:t>
      </w:r>
      <w:r w:rsidR="00747819">
        <w:t>13.28</w:t>
      </w:r>
      <w:r w:rsidR="00355668">
        <w:t>)</w:t>
      </w:r>
      <w:r w:rsidR="00747819">
        <w:t xml:space="preserve">; Utilities </w:t>
      </w:r>
      <w:r w:rsidR="008E0376">
        <w:t>(1.</w:t>
      </w:r>
      <w:r w:rsidR="00747819">
        <w:t>2</w:t>
      </w:r>
      <w:r w:rsidR="00091777">
        <w:t>2</w:t>
      </w:r>
      <w:r w:rsidR="008E0376">
        <w:t>)</w:t>
      </w:r>
      <w:r w:rsidR="00747819">
        <w:t>; and Government (1.19)</w:t>
      </w:r>
      <w:r w:rsidR="00091777">
        <w:t xml:space="preserve">. </w:t>
      </w:r>
      <w:r w:rsidR="00747819">
        <w:rPr>
          <w:color w:val="000000"/>
        </w:rPr>
        <w:t xml:space="preserve">The </w:t>
      </w:r>
      <w:r w:rsidR="00747819">
        <w:t xml:space="preserve">Agriculture, Forestry, Fishing, &amp; Hunting </w:t>
      </w:r>
      <w:r w:rsidR="004C0FF8">
        <w:t xml:space="preserve">and </w:t>
      </w:r>
      <w:r w:rsidR="00747819">
        <w:t xml:space="preserve">Utilities </w:t>
      </w:r>
      <w:r w:rsidR="00370561">
        <w:rPr>
          <w:color w:val="000000"/>
        </w:rPr>
        <w:t xml:space="preserve">industry sectors </w:t>
      </w:r>
      <w:r w:rsidR="00A619CE">
        <w:rPr>
          <w:color w:val="000000"/>
        </w:rPr>
        <w:t xml:space="preserve">are </w:t>
      </w:r>
      <w:r w:rsidR="00B567A9">
        <w:rPr>
          <w:color w:val="000000"/>
        </w:rPr>
        <w:t>considered</w:t>
      </w:r>
      <w:r w:rsidR="00A619CE">
        <w:rPr>
          <w:color w:val="000000"/>
        </w:rPr>
        <w:t xml:space="preserve"> to have a comparative advantage.</w:t>
      </w:r>
      <w:r w:rsidR="00E12F75">
        <w:t xml:space="preserve"> The relative concentrations are expected to undergo </w:t>
      </w:r>
      <w:r w:rsidR="000A12F4">
        <w:t xml:space="preserve">some </w:t>
      </w:r>
      <w:r w:rsidR="00E12F75">
        <w:t>changes over the next decade</w:t>
      </w:r>
      <w:r w:rsidR="000A12F4">
        <w:t xml:space="preserve">, </w:t>
      </w:r>
      <w:r w:rsidR="00AF7D25">
        <w:t xml:space="preserve">yet </w:t>
      </w:r>
      <w:r w:rsidR="00270F6B">
        <w:t xml:space="preserve">the same industry sectors are expected to </w:t>
      </w:r>
      <w:r w:rsidR="00345030">
        <w:t>be</w:t>
      </w:r>
      <w:r w:rsidR="00355668">
        <w:t xml:space="preserve"> above the 1.2 cutoff</w:t>
      </w:r>
      <w:r w:rsidR="00E12F75">
        <w:t>.</w:t>
      </w:r>
      <w:r>
        <w:rPr>
          <w:rStyle w:val="FootnoteReference"/>
          <w:color w:val="000000"/>
        </w:rPr>
        <w:footnoteReference w:id="2"/>
      </w:r>
      <w:r w:rsidRPr="00FA4C88">
        <w:t xml:space="preserve"> </w:t>
      </w:r>
    </w:p>
    <w:p w14:paraId="002CF467" w14:textId="1B5BB4ED" w:rsidR="00D22B8D" w:rsidRDefault="00561C4E" w:rsidP="00FF5D7C">
      <w:pPr>
        <w:pStyle w:val="Heading2"/>
      </w:pPr>
      <w:bookmarkStart w:id="10" w:name="_Toc428785407"/>
      <w:r>
        <w:t>Jobs by Occupation</w:t>
      </w:r>
      <w:bookmarkEnd w:id="10"/>
    </w:p>
    <w:p w14:paraId="0F1D8DFF" w14:textId="3F0F7F0E" w:rsidR="00AA1B5D" w:rsidRDefault="00AA1B5D" w:rsidP="00AA1B5D">
      <w:r>
        <w:t>Resea</w:t>
      </w:r>
      <w:r w:rsidR="006C38C7">
        <w:t>rc</w:t>
      </w:r>
      <w:r>
        <w:t>hers often refer to industry data to get a sense of regional economic trends, but in order to better understand the quality of the jobs contained within that region, some knowledge of occupations is needed. This is because the earning levels and education requirements of workers bear more of a relationship to their occupation than to the industry in which they work. For example, the Manufacturing industry – while employing a number of assemblers and machine operators – also employs people in management occupations and in professional occupations such as engineering. All of these occupations have different pay scales and require varying levels of education and training.</w:t>
      </w:r>
    </w:p>
    <w:p w14:paraId="293203B5" w14:textId="25325D9B" w:rsidR="00053FED" w:rsidRDefault="00901163" w:rsidP="00053FED">
      <w:r>
        <w:t xml:space="preserve">Federal agencies use the </w:t>
      </w:r>
      <w:r w:rsidRPr="00222B6F">
        <w:t>Standard Occupational Classification (</w:t>
      </w:r>
      <w:r>
        <w:t xml:space="preserve">SOC) system </w:t>
      </w:r>
      <w:r w:rsidRPr="00222B6F">
        <w:t>to classify workers</w:t>
      </w:r>
      <w:r w:rsidR="006050F2">
        <w:t xml:space="preserve"> into occupational categories </w:t>
      </w:r>
      <w:r w:rsidR="006050F2">
        <w:lastRenderedPageBreak/>
        <w:t xml:space="preserve">based on work performed. </w:t>
      </w:r>
      <w:r w:rsidR="00053FED">
        <w:t xml:space="preserve">The 2010 SOC system contains more than 800 </w:t>
      </w:r>
      <w:r w:rsidR="00F1298E">
        <w:t xml:space="preserve">detailed </w:t>
      </w:r>
      <w:r w:rsidR="001E3ED4">
        <w:t>occupations</w:t>
      </w:r>
      <w:r w:rsidR="00053FED">
        <w:t xml:space="preserve"> </w:t>
      </w:r>
      <w:r w:rsidR="0073715A">
        <w:t xml:space="preserve">organized </w:t>
      </w:r>
      <w:r w:rsidR="00D30516">
        <w:t>according</w:t>
      </w:r>
      <w:r w:rsidR="0073715A">
        <w:t xml:space="preserve"> to a five-digit </w:t>
      </w:r>
      <w:r w:rsidR="00053FED">
        <w:t>hiera</w:t>
      </w:r>
      <w:r w:rsidR="006C38C7">
        <w:t>rc</w:t>
      </w:r>
      <w:r w:rsidR="00053FED">
        <w:t xml:space="preserve">hical </w:t>
      </w:r>
      <w:r w:rsidR="0073715A">
        <w:t>coding structure</w:t>
      </w:r>
      <w:r w:rsidR="00F1298E">
        <w:t xml:space="preserve">. Detailed occupations with similar job duties are </w:t>
      </w:r>
      <w:r w:rsidR="00F61DF9">
        <w:t xml:space="preserve">further </w:t>
      </w:r>
      <w:r w:rsidR="001E3ED4">
        <w:t>combined to form 23 major groups.</w:t>
      </w:r>
      <w:r w:rsidR="00F1298E">
        <w:t xml:space="preserve"> </w:t>
      </w:r>
      <w:r w:rsidR="00053FED">
        <w:t xml:space="preserve">Table </w:t>
      </w:r>
      <w:r w:rsidR="00355668">
        <w:t>1.</w:t>
      </w:r>
      <w:r w:rsidR="00053FED">
        <w:t xml:space="preserve">3 shows the breakdown of employment in the </w:t>
      </w:r>
      <w:r w:rsidR="006C38C7">
        <w:t>CCC</w:t>
      </w:r>
      <w:r w:rsidR="00053FED">
        <w:t xml:space="preserve"> </w:t>
      </w:r>
      <w:r w:rsidR="00B101E7">
        <w:t>Economic Region</w:t>
      </w:r>
      <w:r w:rsidR="00053FED">
        <w:t xml:space="preserve"> by major group, with information on current and projected jobs, job change, average annual openings, and wage rates. </w:t>
      </w:r>
    </w:p>
    <w:tbl>
      <w:tblPr>
        <w:tblStyle w:val="MediumShading1-Accent1"/>
        <w:tblW w:w="9576" w:type="dxa"/>
        <w:tblLayout w:type="fixed"/>
        <w:tblLook w:val="04A0" w:firstRow="1" w:lastRow="0" w:firstColumn="1" w:lastColumn="0" w:noHBand="0" w:noVBand="1"/>
      </w:tblPr>
      <w:tblGrid>
        <w:gridCol w:w="918"/>
        <w:gridCol w:w="3061"/>
        <w:gridCol w:w="900"/>
        <w:gridCol w:w="900"/>
        <w:gridCol w:w="900"/>
        <w:gridCol w:w="900"/>
        <w:gridCol w:w="990"/>
        <w:gridCol w:w="1007"/>
      </w:tblGrid>
      <w:tr w:rsidR="00C64F55" w:rsidRPr="005A0E51" w14:paraId="7CBBB1C2" w14:textId="77777777" w:rsidTr="00C64F55">
        <w:trPr>
          <w:cnfStyle w:val="100000000000" w:firstRow="1" w:lastRow="0" w:firstColumn="0" w:lastColumn="0" w:oddVBand="0" w:evenVBand="0" w:oddHBand="0" w:evenHBand="0" w:firstRowFirstColumn="0" w:firstRowLastColumn="0" w:lastRowFirstColumn="0" w:lastRowLastColumn="0"/>
          <w:trHeight w:hRule="exact" w:val="61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il"/>
              <w:left w:val="nil"/>
              <w:right w:val="nil"/>
            </w:tcBorders>
            <w:shd w:val="clear" w:color="auto" w:fill="auto"/>
            <w:vAlign w:val="center"/>
          </w:tcPr>
          <w:p w14:paraId="6E1D7FC6" w14:textId="20E034F4" w:rsidR="00C64F55" w:rsidRPr="00244673" w:rsidRDefault="00C64F55" w:rsidP="0045113D">
            <w:pPr>
              <w:pStyle w:val="Tabletitle"/>
              <w:rPr>
                <w:b/>
              </w:rPr>
            </w:pPr>
            <w:r w:rsidRPr="00244673">
              <w:rPr>
                <w:b/>
              </w:rPr>
              <w:t xml:space="preserve">Table </w:t>
            </w:r>
            <w:r w:rsidR="00355668">
              <w:rPr>
                <w:b/>
              </w:rPr>
              <w:t>1.</w:t>
            </w:r>
            <w:r w:rsidRPr="00244673">
              <w:rPr>
                <w:b/>
              </w:rPr>
              <w:t xml:space="preserve">3: </w:t>
            </w:r>
            <w:r>
              <w:rPr>
                <w:b/>
              </w:rPr>
              <w:t xml:space="preserve">CUrrent and Projected Jobs, job change, and median hourly earnings by Major Occupation Group IN </w:t>
            </w:r>
            <w:r w:rsidR="006C38C7">
              <w:rPr>
                <w:b/>
              </w:rPr>
              <w:t>CCC</w:t>
            </w:r>
            <w:r>
              <w:rPr>
                <w:b/>
              </w:rPr>
              <w:t xml:space="preserve"> </w:t>
            </w:r>
            <w:r w:rsidR="00B101E7">
              <w:rPr>
                <w:b/>
              </w:rPr>
              <w:t>ECONOMIC REGION</w:t>
            </w:r>
            <w:r>
              <w:rPr>
                <w:b/>
              </w:rPr>
              <w:t xml:space="preserve">, </w:t>
            </w:r>
            <w:r w:rsidR="008B0385">
              <w:rPr>
                <w:b/>
              </w:rPr>
              <w:t>2014</w:t>
            </w:r>
            <w:r>
              <w:rPr>
                <w:b/>
              </w:rPr>
              <w:t xml:space="preserve"> to </w:t>
            </w:r>
            <w:r w:rsidR="008B0385">
              <w:rPr>
                <w:b/>
              </w:rPr>
              <w:t>2024</w:t>
            </w:r>
          </w:p>
        </w:tc>
      </w:tr>
      <w:tr w:rsidR="00233C7F" w:rsidRPr="005A0E51" w14:paraId="6FA34522" w14:textId="77777777" w:rsidTr="0060051E">
        <w:trPr>
          <w:cnfStyle w:val="000000100000" w:firstRow="0" w:lastRow="0" w:firstColumn="0" w:lastColumn="0" w:oddVBand="0" w:evenVBand="0" w:oddHBand="1" w:evenHBand="0" w:firstRowFirstColumn="0" w:firstRowLastColumn="0" w:lastRowFirstColumn="0" w:lastRowLastColumn="0"/>
          <w:trHeight w:hRule="exact" w:val="66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479F4FCB" w14:textId="77777777" w:rsidR="00C64F55" w:rsidRPr="005A0E51" w:rsidRDefault="00C64F55" w:rsidP="00384961">
            <w:pPr>
              <w:pStyle w:val="Tableheaderleft"/>
              <w:jc w:val="center"/>
            </w:pPr>
            <w:r w:rsidRPr="005A0E51">
              <w:t>SOC Code</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45C50360" w14:textId="77777777" w:rsidR="00C64F55" w:rsidRPr="005A0E51" w:rsidRDefault="00C64F55" w:rsidP="00384961">
            <w:pPr>
              <w:pStyle w:val="Tableheaderleft"/>
              <w:jc w:val="center"/>
              <w:cnfStyle w:val="000000100000" w:firstRow="0" w:lastRow="0" w:firstColumn="0" w:lastColumn="0" w:oddVBand="0" w:evenVBand="0" w:oddHBand="1" w:evenHBand="0" w:firstRowFirstColumn="0" w:firstRowLastColumn="0" w:lastRowFirstColumn="0" w:lastRowLastColumn="0"/>
            </w:pPr>
            <w:r w:rsidRPr="005A0E51">
              <w:t>Description</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321F518B" w14:textId="6967C01F" w:rsidR="00C64F55" w:rsidRPr="005A0E51" w:rsidRDefault="008B0385" w:rsidP="008866CF">
            <w:pPr>
              <w:pStyle w:val="Tableheadercenter"/>
              <w:cnfStyle w:val="000000100000" w:firstRow="0" w:lastRow="0" w:firstColumn="0" w:lastColumn="0" w:oddVBand="0" w:evenVBand="0" w:oddHBand="1" w:evenHBand="0" w:firstRowFirstColumn="0" w:firstRowLastColumn="0" w:lastRowFirstColumn="0" w:lastRowLastColumn="0"/>
            </w:pPr>
            <w:r>
              <w:t>2014</w:t>
            </w:r>
            <w:r w:rsidR="00233C7F">
              <w:t xml:space="preserve"> J</w:t>
            </w:r>
            <w:r w:rsidR="00C64F55" w:rsidRPr="005A0E51">
              <w:t>obs</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768808E6" w14:textId="0FF509AA" w:rsidR="00C64F55" w:rsidRPr="005A0E51" w:rsidRDefault="008B0385" w:rsidP="008E0427">
            <w:pPr>
              <w:pStyle w:val="Tableheadercenter"/>
              <w:cnfStyle w:val="000000100000" w:firstRow="0" w:lastRow="0" w:firstColumn="0" w:lastColumn="0" w:oddVBand="0" w:evenVBand="0" w:oddHBand="1" w:evenHBand="0" w:firstRowFirstColumn="0" w:firstRowLastColumn="0" w:lastRowFirstColumn="0" w:lastRowLastColumn="0"/>
            </w:pPr>
            <w:r>
              <w:t>2024</w:t>
            </w:r>
            <w:r w:rsidR="00C64F55" w:rsidRPr="005A0E51">
              <w:t xml:space="preserve"> Jobs</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5BCA63BA" w14:textId="77777777" w:rsidR="00C64F55" w:rsidRPr="005A0E51" w:rsidRDefault="00C64F55" w:rsidP="008E0427">
            <w:pPr>
              <w:pStyle w:val="Tableheadercenter"/>
              <w:cnfStyle w:val="000000100000" w:firstRow="0" w:lastRow="0" w:firstColumn="0" w:lastColumn="0" w:oddVBand="0" w:evenVBand="0" w:oddHBand="1" w:evenHBand="0" w:firstRowFirstColumn="0" w:firstRowLastColumn="0" w:lastRowFirstColumn="0" w:lastRowLastColumn="0"/>
            </w:pPr>
            <w:r w:rsidRPr="005A0E51">
              <w:t>Change</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7E60C04A" w14:textId="77777777" w:rsidR="00C64F55" w:rsidRPr="005A0E51" w:rsidRDefault="00C64F55" w:rsidP="008E0427">
            <w:pPr>
              <w:pStyle w:val="Tableheadercenter"/>
              <w:cnfStyle w:val="000000100000" w:firstRow="0" w:lastRow="0" w:firstColumn="0" w:lastColumn="0" w:oddVBand="0" w:evenVBand="0" w:oddHBand="1" w:evenHBand="0" w:firstRowFirstColumn="0" w:firstRowLastColumn="0" w:lastRowFirstColumn="0" w:lastRowLastColumn="0"/>
            </w:pPr>
            <w:r w:rsidRPr="005A0E51">
              <w:t>% Change</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6FDB1E68" w14:textId="1BE068AE" w:rsidR="00C64F55" w:rsidRDefault="0060051E" w:rsidP="0060051E">
            <w:pPr>
              <w:pStyle w:val="Tableheadercenter"/>
              <w:cnfStyle w:val="000000100000" w:firstRow="0" w:lastRow="0" w:firstColumn="0" w:lastColumn="0" w:oddVBand="0" w:evenVBand="0" w:oddHBand="1" w:evenHBand="0" w:firstRowFirstColumn="0" w:firstRowLastColumn="0" w:lastRowFirstColumn="0" w:lastRowLastColumn="0"/>
            </w:pPr>
            <w:r>
              <w:t>Median Hourly Earnings</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14:paraId="60BDE266" w14:textId="0E600334" w:rsidR="00C64F55" w:rsidRPr="005A0E51" w:rsidRDefault="0060051E" w:rsidP="008E0427">
            <w:pPr>
              <w:pStyle w:val="Tableheadercenter"/>
              <w:cnfStyle w:val="000000100000" w:firstRow="0" w:lastRow="0" w:firstColumn="0" w:lastColumn="0" w:oddVBand="0" w:evenVBand="0" w:oddHBand="1" w:evenHBand="0" w:firstRowFirstColumn="0" w:firstRowLastColumn="0" w:lastRowFirstColumn="0" w:lastRowLastColumn="0"/>
            </w:pPr>
            <w:r>
              <w:t>Average Annual Openings</w:t>
            </w:r>
          </w:p>
        </w:tc>
      </w:tr>
      <w:tr w:rsidR="00F62306" w:rsidRPr="005A0E51" w14:paraId="3D9D0635"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5A020A3" w14:textId="74C85B22" w:rsidR="00F62306" w:rsidRPr="00FA732A" w:rsidRDefault="00F62306" w:rsidP="00207F7C">
            <w:pPr>
              <w:pStyle w:val="Tablenormalleft"/>
              <w:jc w:val="right"/>
            </w:pPr>
            <w:r w:rsidRPr="00FA732A">
              <w:t>11-0000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B10EDA6" w14:textId="0DF11878"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Management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379CA60" w14:textId="6A0E5EA8"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34,033</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255B33E" w14:textId="228CD649"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35,509</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CCA40B8" w14:textId="3BEEA9E4"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1,479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6219B9A" w14:textId="4F36C891"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4%</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C0BB975" w14:textId="75505A3E"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$33.44</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25B24BC" w14:textId="54096FBF"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805</w:t>
            </w:r>
          </w:p>
        </w:tc>
      </w:tr>
      <w:tr w:rsidR="00F62306" w:rsidRPr="005A0E51" w14:paraId="3E89F637" w14:textId="77777777" w:rsidTr="00F62306">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C03E4C9" w14:textId="779EA6FF" w:rsidR="00F62306" w:rsidRPr="00FA732A" w:rsidRDefault="00F62306" w:rsidP="00207F7C">
            <w:pPr>
              <w:pStyle w:val="Tablenormalleft"/>
              <w:jc w:val="left"/>
            </w:pPr>
            <w:r w:rsidRPr="00FA732A">
              <w:t>13-0000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C6CE270" w14:textId="5B6C9822"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Business and Financial Operations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837C05A" w14:textId="531A1C19"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21,122</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DDAF21E" w14:textId="4F6F54DD"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23,536</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387564B" w14:textId="0BD328D7"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2,412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A065C93" w14:textId="2AD12AFE"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11%</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B92BB7A" w14:textId="68914859"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$27.50</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11A71BC" w14:textId="64CAFAFD"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657</w:t>
            </w:r>
          </w:p>
        </w:tc>
      </w:tr>
      <w:tr w:rsidR="00F62306" w:rsidRPr="005A0E51" w14:paraId="6B1ED779"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DB7694E" w14:textId="77096074" w:rsidR="00F62306" w:rsidRPr="00FA732A" w:rsidRDefault="00F62306" w:rsidP="00207F7C">
            <w:pPr>
              <w:pStyle w:val="Tablenormalleft"/>
              <w:jc w:val="left"/>
            </w:pPr>
            <w:r w:rsidRPr="00FA732A">
              <w:t>15-0000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04FC090" w14:textId="795090D4"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Computer and Mathematical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E9B0504" w14:textId="6CF00AA2"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5,405</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C1C46D6" w14:textId="353A18A1"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6,506</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3D67E85" w14:textId="07F3D4FB"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1,102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6C09B0B" w14:textId="619910B2"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20%</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3D1C225" w14:textId="6A3D6EEF"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$31.17</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608CFF6" w14:textId="0E819E9E"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196</w:t>
            </w:r>
          </w:p>
        </w:tc>
      </w:tr>
      <w:tr w:rsidR="00F62306" w:rsidRPr="005A0E51" w14:paraId="6ECD5E4C" w14:textId="77777777" w:rsidTr="00F6230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93D2543" w14:textId="2BB7C499" w:rsidR="00F62306" w:rsidRPr="00FA732A" w:rsidRDefault="00F62306" w:rsidP="00207F7C">
            <w:pPr>
              <w:pStyle w:val="Tablenormalleft"/>
              <w:jc w:val="left"/>
            </w:pPr>
            <w:r w:rsidRPr="00FA732A">
              <w:t>17-0000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9CB28D2" w14:textId="72026FF6"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A</w:t>
            </w:r>
            <w:r w:rsidR="006C38C7">
              <w:t>CCC</w:t>
            </w:r>
            <w:r w:rsidRPr="008530AA">
              <w:t xml:space="preserve">hitecture and Engineering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1E9E3F1" w14:textId="118905FC"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5,034</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4DA84B7" w14:textId="24106BCF"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5,660</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E225D76" w14:textId="3E2CE326"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629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76850CE" w14:textId="7FEC8D0E"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12%</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4930BA1" w14:textId="73B0A2FA"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$37.13</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7F0DFF9" w14:textId="54E532FC"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175</w:t>
            </w:r>
          </w:p>
        </w:tc>
      </w:tr>
      <w:tr w:rsidR="00F62306" w:rsidRPr="005A0E51" w14:paraId="322FDE14"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7A779C7" w14:textId="62F0F972" w:rsidR="00F62306" w:rsidRPr="00FA732A" w:rsidRDefault="00F62306" w:rsidP="00207F7C">
            <w:pPr>
              <w:pStyle w:val="Tablenormalleft"/>
              <w:jc w:val="left"/>
            </w:pPr>
            <w:r w:rsidRPr="00FA732A">
              <w:t>19-0000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EF79DFC" w14:textId="7ACE40FB"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Life, Physical, and Social Science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C74AC75" w14:textId="1336DD4C"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5,372</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308CB29" w14:textId="02234A66"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5,995</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366C8C0" w14:textId="0CF0FA3F"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602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93033F6" w14:textId="56747ABA"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11%</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43CBD3EF" w14:textId="6CA6AD00"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$29.29</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9461F6A" w14:textId="2F1D6AEF"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216</w:t>
            </w:r>
          </w:p>
        </w:tc>
      </w:tr>
      <w:tr w:rsidR="00F62306" w:rsidRPr="005A0E51" w14:paraId="11E62812" w14:textId="77777777" w:rsidTr="00F6230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167846C" w14:textId="2C36DA64" w:rsidR="00F62306" w:rsidRPr="00FA732A" w:rsidRDefault="00F62306" w:rsidP="00207F7C">
            <w:pPr>
              <w:pStyle w:val="Tablenormalleft"/>
              <w:jc w:val="left"/>
            </w:pPr>
            <w:r w:rsidRPr="00FA732A">
              <w:t>21-0000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B50174D" w14:textId="72729FE6"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Community and Social Service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A9AA663" w14:textId="49E08E9B"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14,172</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9EDED65" w14:textId="0FA15617"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16,376</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7B915D5" w14:textId="62E08678"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2,200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2875390" w14:textId="6C397C0C"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16%</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644AAEC" w14:textId="0F703E60"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$21.05</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C9D8439" w14:textId="007B86A8"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518</w:t>
            </w:r>
          </w:p>
        </w:tc>
      </w:tr>
      <w:tr w:rsidR="00F62306" w:rsidRPr="005A0E51" w14:paraId="3481CD47"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59BF834" w14:textId="2DA299DC" w:rsidR="00F62306" w:rsidRPr="00FA732A" w:rsidRDefault="00F62306" w:rsidP="00207F7C">
            <w:pPr>
              <w:pStyle w:val="Tablenormalleft"/>
              <w:jc w:val="left"/>
            </w:pPr>
            <w:r w:rsidRPr="00FA732A">
              <w:t>23-0000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B8DCF8A" w14:textId="1EE20AC9"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Legal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A5FA325" w14:textId="39E7E5AD"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3,605</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2029D42" w14:textId="3E9FB9CD"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4,072</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957A625" w14:textId="0F459D5C"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468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28DC9FD" w14:textId="67C1DA7C"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13%</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941B6CB" w14:textId="5C3EE8AF"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$37.16</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48A9BA4" w14:textId="2606CC24"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107</w:t>
            </w:r>
          </w:p>
        </w:tc>
      </w:tr>
      <w:tr w:rsidR="00F62306" w:rsidRPr="005A0E51" w14:paraId="5462ABE0" w14:textId="77777777" w:rsidTr="00F6230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2ACE971" w14:textId="324D27BC" w:rsidR="00F62306" w:rsidRPr="00FA732A" w:rsidRDefault="00F62306" w:rsidP="00207F7C">
            <w:pPr>
              <w:pStyle w:val="Tablenormalleft"/>
              <w:jc w:val="left"/>
            </w:pPr>
            <w:r w:rsidRPr="00FA732A">
              <w:t>25-0000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E848D48" w14:textId="6FC96EDC"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Education, Training, and Library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E2CFF4F" w14:textId="407E4D1F"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44,176</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F4B7927" w14:textId="5EC7C96D"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49,596</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D73A5F6" w14:textId="2C74AD08"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5,424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8B28B35" w14:textId="210ABCF6"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12%</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BCF57F8" w14:textId="7BB0C627"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$23.84</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4935CF9" w14:textId="3668F3FA"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1,399</w:t>
            </w:r>
          </w:p>
        </w:tc>
      </w:tr>
      <w:tr w:rsidR="00F62306" w:rsidRPr="005A0E51" w14:paraId="56D99CEB" w14:textId="77777777" w:rsidTr="00F62306">
        <w:trPr>
          <w:cnfStyle w:val="000000010000" w:firstRow="0" w:lastRow="0" w:firstColumn="0" w:lastColumn="0" w:oddVBand="0" w:evenVBand="0" w:oddHBand="0" w:evenHBand="1"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8688E1C" w14:textId="21582FFA" w:rsidR="00F62306" w:rsidRPr="00FA732A" w:rsidRDefault="00F62306" w:rsidP="00207F7C">
            <w:pPr>
              <w:pStyle w:val="Tablenormalleft"/>
              <w:jc w:val="left"/>
            </w:pPr>
            <w:r w:rsidRPr="00FA732A">
              <w:t>27-0000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E20AAEE" w14:textId="5AE973AF"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Arts, Design, Entertainment, Sports, and Media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64A2F60" w14:textId="156A8E5E"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6,647</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7083138" w14:textId="5C68E0F5"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7,396</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05505CA" w14:textId="761D9F6B"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750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8CBE50E" w14:textId="7F7FF31E"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11%</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B750140" w14:textId="64BBAC4D"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$16.91</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11F3FA5" w14:textId="7229E1F2"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216</w:t>
            </w:r>
          </w:p>
        </w:tc>
      </w:tr>
      <w:tr w:rsidR="00F62306" w:rsidRPr="005A0E51" w14:paraId="7D441F4C" w14:textId="77777777" w:rsidTr="00F62306">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565C680" w14:textId="57D09376" w:rsidR="00F62306" w:rsidRPr="00FA732A" w:rsidRDefault="00F62306" w:rsidP="00207F7C">
            <w:pPr>
              <w:pStyle w:val="Tablenormalleft"/>
              <w:jc w:val="left"/>
            </w:pPr>
            <w:r w:rsidRPr="00FA732A">
              <w:t>29-0000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C7D0240" w14:textId="4F1BF19E"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Healthcare Practitioners and Technical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2CC44B7" w14:textId="0E267CAC"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31,824</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174F6CD" w14:textId="3A77426D"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38,547</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F2CD389" w14:textId="778DA7B5"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6,723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5BC3066" w14:textId="7607CB99"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21%</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C2F99B2" w14:textId="2B4170C6"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$39.22</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F9975AC" w14:textId="39D124DA"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1,280</w:t>
            </w:r>
          </w:p>
        </w:tc>
      </w:tr>
      <w:tr w:rsidR="00F62306" w:rsidRPr="005A0E51" w14:paraId="3E28251C"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971A251" w14:textId="01F33602" w:rsidR="00F62306" w:rsidRPr="00FA732A" w:rsidRDefault="00F62306" w:rsidP="00207F7C">
            <w:pPr>
              <w:pStyle w:val="Tablenormalleft"/>
              <w:jc w:val="left"/>
            </w:pPr>
            <w:r w:rsidRPr="00FA732A">
              <w:t>31-0000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76CD311" w14:textId="6FBB1FE8"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Healthcare Support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4EA249F" w14:textId="1F2F3AF5"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16,010</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58B9B64" w14:textId="731C9C30"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20,037</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7D50492" w14:textId="52DFCB4B"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4,032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421D4C8D" w14:textId="4725EC46"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25%</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693A8EC" w14:textId="5AAEC207"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$12.99</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90E8C45" w14:textId="645868DD"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446</w:t>
            </w:r>
          </w:p>
        </w:tc>
      </w:tr>
      <w:tr w:rsidR="00F62306" w:rsidRPr="005A0E51" w14:paraId="5C401A16" w14:textId="77777777" w:rsidTr="00F6230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524682F" w14:textId="077D271C" w:rsidR="00F62306" w:rsidRPr="00FA732A" w:rsidRDefault="00F62306" w:rsidP="00207F7C">
            <w:pPr>
              <w:pStyle w:val="Tablenormalleft"/>
              <w:jc w:val="left"/>
            </w:pPr>
            <w:r w:rsidRPr="00FA732A">
              <w:t>33-0000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0BD91B8" w14:textId="13996F36"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Protective Service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38BEDA1" w14:textId="7931B970"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18,698</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A27EC4B" w14:textId="44C02C0B"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20,752</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8A0BE11" w14:textId="430610CE"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2,042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9A878F1" w14:textId="02413722"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11%</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29DA314" w14:textId="09C2571D"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$28.47</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F3480DB" w14:textId="7613A2C8"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512</w:t>
            </w:r>
          </w:p>
        </w:tc>
      </w:tr>
      <w:tr w:rsidR="00F62306" w:rsidRPr="005A0E51" w14:paraId="002DD266" w14:textId="77777777" w:rsidTr="00F62306">
        <w:trPr>
          <w:cnfStyle w:val="000000010000" w:firstRow="0" w:lastRow="0" w:firstColumn="0" w:lastColumn="0" w:oddVBand="0" w:evenVBand="0" w:oddHBand="0" w:evenHBand="1"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235B79A" w14:textId="4EBC345A" w:rsidR="00F62306" w:rsidRPr="00FA732A" w:rsidRDefault="00F62306" w:rsidP="00207F7C">
            <w:pPr>
              <w:pStyle w:val="Tablenormalleft"/>
              <w:jc w:val="left"/>
            </w:pPr>
            <w:r w:rsidRPr="00FA732A">
              <w:t>35-0000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1D16138" w14:textId="034DCED8"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Food Preparation and Serving Related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88B65C1" w14:textId="069E1B55"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45,785</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6CB70BC" w14:textId="4B2156B2"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54,406</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5B0C20C" w14:textId="1AC81201"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8,621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91139D4" w14:textId="00D88782"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19%</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02E5226" w14:textId="78E6DC41"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$9.70</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4E42A0B" w14:textId="6C6D35CA"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1,014</w:t>
            </w:r>
          </w:p>
        </w:tc>
      </w:tr>
      <w:tr w:rsidR="00F62306" w:rsidRPr="005A0E51" w14:paraId="48A8CB5E" w14:textId="77777777" w:rsidTr="00F62306">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8ED43D4" w14:textId="3031B263" w:rsidR="00F62306" w:rsidRPr="00FA732A" w:rsidRDefault="00F62306" w:rsidP="00207F7C">
            <w:pPr>
              <w:pStyle w:val="Tablenormalleft"/>
              <w:jc w:val="left"/>
            </w:pPr>
            <w:r w:rsidRPr="00FA732A">
              <w:t>37-0000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15025BC" w14:textId="648862E0"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Building and Grounds Cleaning and Maintenance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AC47FFA" w14:textId="527AEC06"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24,967</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F6E7C21" w14:textId="10AA7939"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28,700</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C9CBD73" w14:textId="53B9E663"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3,733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41CDF36" w14:textId="2972F16B"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15%</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C574876" w14:textId="72927F7A"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$11.15</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2ABECD0" w14:textId="31E7E673"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263</w:t>
            </w:r>
          </w:p>
        </w:tc>
      </w:tr>
      <w:tr w:rsidR="00F62306" w:rsidRPr="005A0E51" w14:paraId="616DB150"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E8EACE5" w14:textId="3A283266" w:rsidR="00F62306" w:rsidRPr="00FA732A" w:rsidRDefault="00F62306" w:rsidP="00207F7C">
            <w:pPr>
              <w:pStyle w:val="Tablenormalleft"/>
              <w:jc w:val="left"/>
            </w:pPr>
            <w:r w:rsidRPr="00FA732A">
              <w:t>39-0000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28B7535" w14:textId="1E9BA5A0"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Personal Care and Service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B1C2595" w14:textId="78F979C9"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24,501</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1DA88DD" w14:textId="4EB4814D"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29,342</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7C167EB" w14:textId="624DFF1A"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4,856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1BC6FD8" w14:textId="71CDDEC6"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20%</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289EAAE" w14:textId="496CEB0C"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$9.73</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51BAAA1" w14:textId="6B2E4944"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572</w:t>
            </w:r>
          </w:p>
        </w:tc>
      </w:tr>
      <w:tr w:rsidR="00F62306" w:rsidRPr="005A0E51" w14:paraId="72D1210B" w14:textId="77777777" w:rsidTr="00F6230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8382733" w14:textId="44C3E6D6" w:rsidR="00F62306" w:rsidRPr="00FA732A" w:rsidRDefault="00F62306" w:rsidP="00207F7C">
            <w:pPr>
              <w:pStyle w:val="Tablenormalleft"/>
              <w:jc w:val="left"/>
            </w:pPr>
            <w:r w:rsidRPr="00FA732A">
              <w:t>41-0000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D44A0E7" w14:textId="7840C80D"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Sales and Related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CDD7B6F" w14:textId="7F0BD559"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60,828</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7D53009" w14:textId="43E515CF"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70,148</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8A09385" w14:textId="18DE2124"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9,319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34855BE" w14:textId="4742B524"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15%</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6E42675" w14:textId="64EE8191"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$13.88</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90E409A" w14:textId="2A40E1C3"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1,841</w:t>
            </w:r>
          </w:p>
        </w:tc>
      </w:tr>
      <w:tr w:rsidR="00F62306" w:rsidRPr="005A0E51" w14:paraId="39B6DE68"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BED9FAD" w14:textId="46DE3A45" w:rsidR="00F62306" w:rsidRPr="00FA732A" w:rsidRDefault="00F62306" w:rsidP="00207F7C">
            <w:pPr>
              <w:pStyle w:val="Tablenormalleft"/>
              <w:jc w:val="left"/>
            </w:pPr>
            <w:r w:rsidRPr="00FA732A">
              <w:t>43-0000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6139347" w14:textId="1AE1CC5F"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Office and Administrative Support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805E60D" w14:textId="2DCF339E"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89,685</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5578A12" w14:textId="5C1DA0FC"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100,229</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A588611" w14:textId="12FB72EC"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10,552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11C167E" w14:textId="3787CE34"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12%</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4A4196B" w14:textId="0E784379"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$15.53</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D978ADB" w14:textId="278B5604"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2,037</w:t>
            </w:r>
          </w:p>
        </w:tc>
      </w:tr>
      <w:tr w:rsidR="00F62306" w:rsidRPr="005A0E51" w14:paraId="5425C5C1" w14:textId="77777777" w:rsidTr="00F62306">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77F165F" w14:textId="6FBF7AD2" w:rsidR="00F62306" w:rsidRPr="00FA732A" w:rsidRDefault="00F62306" w:rsidP="00207F7C">
            <w:pPr>
              <w:pStyle w:val="Tablenormalleft"/>
              <w:jc w:val="left"/>
            </w:pPr>
            <w:r w:rsidRPr="00FA732A">
              <w:t>45-0000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18A0524" w14:textId="7896C0D8"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Farming, Fishing, and Forestry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6F40C9F" w14:textId="2E8A10B3"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84,209</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B9501BC" w14:textId="444AA2D6"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85,088</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E705832" w14:textId="3DF0F221"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881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6F45A44" w14:textId="26446735"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E3D0CC8" w14:textId="6BCDD068"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$9.32</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737D652" w14:textId="030B3AC2"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491</w:t>
            </w:r>
          </w:p>
        </w:tc>
      </w:tr>
      <w:tr w:rsidR="00F62306" w:rsidRPr="005A0E51" w14:paraId="593895E2"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8205F45" w14:textId="60844637" w:rsidR="00F62306" w:rsidRPr="00FA732A" w:rsidRDefault="00F62306" w:rsidP="00207F7C">
            <w:pPr>
              <w:pStyle w:val="Tablenormalleft"/>
              <w:jc w:val="left"/>
            </w:pPr>
            <w:r w:rsidRPr="00FA732A">
              <w:t>47-0000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CF3B1F6" w14:textId="6E7677E4"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Construction and Extraction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BFEE051" w14:textId="77D59D92"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21,896</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BF054E0" w14:textId="0FF1DEEB"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24,869</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DF4D9DD" w14:textId="5112FB83"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2,977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556A782" w14:textId="37903913"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14%</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BFA4966" w14:textId="64A0A0F2"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$18.99</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8651737" w14:textId="205E1BE5"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262</w:t>
            </w:r>
          </w:p>
        </w:tc>
      </w:tr>
      <w:tr w:rsidR="00F62306" w:rsidRPr="005A0E51" w14:paraId="5FF2C82B" w14:textId="77777777" w:rsidTr="00F62306">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ADAF782" w14:textId="5A3CF9AD" w:rsidR="00F62306" w:rsidRPr="00FA732A" w:rsidRDefault="00F62306" w:rsidP="00207F7C">
            <w:pPr>
              <w:pStyle w:val="Tablenormalleft"/>
              <w:jc w:val="left"/>
            </w:pPr>
            <w:r w:rsidRPr="00FA732A">
              <w:t>49-0000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D563275" w14:textId="71CADC9B"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Installation, Maintenance, and Repair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EDA927D" w14:textId="407870AC"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24,002</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232931C" w14:textId="4AF0D682"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28,205</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94280E0" w14:textId="0FEFD6F5"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4,202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756D3D5" w14:textId="1044068C"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18%</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857684E" w14:textId="70C980D7"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$19.66</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9099700" w14:textId="00FAFDE6"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490</w:t>
            </w:r>
          </w:p>
        </w:tc>
      </w:tr>
      <w:tr w:rsidR="00F62306" w:rsidRPr="005A0E51" w14:paraId="3A4F2C47" w14:textId="77777777" w:rsidTr="00F62306">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FF60C68" w14:textId="149725C3" w:rsidR="00F62306" w:rsidRPr="00FA732A" w:rsidRDefault="00F62306" w:rsidP="00207F7C">
            <w:pPr>
              <w:pStyle w:val="Tablenormalleft"/>
              <w:jc w:val="left"/>
            </w:pPr>
            <w:r w:rsidRPr="00FA732A">
              <w:t>51-0000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D46FC7A" w14:textId="1805A7DC" w:rsidR="00F62306" w:rsidRPr="00FA732A" w:rsidRDefault="00F62306" w:rsidP="00207F7C">
            <w:pPr>
              <w:pStyle w:val="Tablenormalleft"/>
              <w:jc w:val="left"/>
              <w:cnfStyle w:val="000000010000" w:firstRow="0" w:lastRow="0" w:firstColumn="0" w:lastColumn="0" w:oddVBand="0" w:evenVBand="0" w:oddHBand="0" w:evenHBand="1" w:firstRowFirstColumn="0" w:firstRowLastColumn="0" w:lastRowFirstColumn="0" w:lastRowLastColumn="0"/>
            </w:pPr>
            <w:r w:rsidRPr="008530AA">
              <w:t xml:space="preserve">Production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7509030" w14:textId="7ECB6BA3"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32,364</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8B8604B" w14:textId="16E43342"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36,691</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4531BCD" w14:textId="4EBAE0DA"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 xml:space="preserve">4,338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35E595F" w14:textId="25E7EB00"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580810">
              <w:t>13%</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041E3CB" w14:textId="272BA736" w:rsidR="00F62306" w:rsidRDefault="00F62306" w:rsidP="00F62306">
            <w:pPr>
              <w:pStyle w:val="Tablenormalright"/>
              <w:cnfStyle w:val="000000010000" w:firstRow="0" w:lastRow="0" w:firstColumn="0" w:lastColumn="0" w:oddVBand="0" w:evenVBand="0" w:oddHBand="0" w:evenHBand="1" w:firstRowFirstColumn="0" w:firstRowLastColumn="0" w:lastRowFirstColumn="0" w:lastRowLastColumn="0"/>
            </w:pPr>
            <w:r w:rsidRPr="00580810">
              <w:t>$14.17</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5975972" w14:textId="4E61201E" w:rsidR="00F62306" w:rsidRPr="005A0E51" w:rsidRDefault="00F62306" w:rsidP="00F62306">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B845D3">
              <w:t>410</w:t>
            </w:r>
          </w:p>
        </w:tc>
      </w:tr>
      <w:tr w:rsidR="00F62306" w:rsidRPr="005A0E51" w14:paraId="20F829DF" w14:textId="77777777" w:rsidTr="00F62306">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7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A626CAC" w14:textId="11D69428" w:rsidR="00F62306" w:rsidRPr="00FA732A" w:rsidRDefault="00F62306" w:rsidP="00207F7C">
            <w:pPr>
              <w:pStyle w:val="Tablenormalleft"/>
              <w:jc w:val="left"/>
            </w:pPr>
            <w:r w:rsidRPr="00FA732A">
              <w:t>53-0000</w:t>
            </w:r>
          </w:p>
        </w:tc>
        <w:tc>
          <w:tcPr>
            <w:tcW w:w="15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CEFC3E5" w14:textId="667F59D1" w:rsidR="00F62306" w:rsidRPr="00FA732A" w:rsidRDefault="00F62306" w:rsidP="00207F7C">
            <w:pPr>
              <w:pStyle w:val="Tablenormalleft"/>
              <w:jc w:val="left"/>
              <w:cnfStyle w:val="000000100000" w:firstRow="0" w:lastRow="0" w:firstColumn="0" w:lastColumn="0" w:oddVBand="0" w:evenVBand="0" w:oddHBand="1" w:evenHBand="0" w:firstRowFirstColumn="0" w:firstRowLastColumn="0" w:lastRowFirstColumn="0" w:lastRowLastColumn="0"/>
            </w:pPr>
            <w:r w:rsidRPr="008530AA">
              <w:t xml:space="preserve">Transportation and Material Moving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53B17FD" w14:textId="1F312749"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50,817</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713F8B0" w14:textId="582C7DFA"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59,168</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4383F1E" w14:textId="4B47D146"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 xml:space="preserve">8,347 </w:t>
            </w:r>
          </w:p>
        </w:tc>
        <w:tc>
          <w:tcPr>
            <w:tcW w:w="47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CDA512B" w14:textId="775A31B0"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580810">
              <w:t>16%</w:t>
            </w:r>
          </w:p>
        </w:tc>
        <w:tc>
          <w:tcPr>
            <w:tcW w:w="5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99FACDB" w14:textId="281CB82D" w:rsidR="00F62306" w:rsidRDefault="00F62306" w:rsidP="00F62306">
            <w:pPr>
              <w:pStyle w:val="Tablenormalright"/>
              <w:cnfStyle w:val="000000100000" w:firstRow="0" w:lastRow="0" w:firstColumn="0" w:lastColumn="0" w:oddVBand="0" w:evenVBand="0" w:oddHBand="1" w:evenHBand="0" w:firstRowFirstColumn="0" w:firstRowLastColumn="0" w:lastRowFirstColumn="0" w:lastRowLastColumn="0"/>
            </w:pPr>
            <w:r w:rsidRPr="00580810">
              <w:t>$13.51</w:t>
            </w:r>
          </w:p>
        </w:tc>
        <w:tc>
          <w:tcPr>
            <w:tcW w:w="52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E68AE6B" w14:textId="2179A711" w:rsidR="00F62306" w:rsidRPr="005A0E51" w:rsidRDefault="00F62306" w:rsidP="00F62306">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B845D3">
              <w:t>693</w:t>
            </w:r>
          </w:p>
        </w:tc>
      </w:tr>
      <w:tr w:rsidR="00C64F55" w:rsidRPr="00CC58BE" w14:paraId="73ABD583" w14:textId="77777777" w:rsidTr="00C64F55">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nil"/>
              <w:bottom w:val="nil"/>
              <w:right w:val="nil"/>
            </w:tcBorders>
            <w:shd w:val="clear" w:color="auto" w:fill="auto"/>
            <w:noWrap/>
          </w:tcPr>
          <w:p w14:paraId="271F37C9" w14:textId="7FA5D3ED" w:rsidR="00C64F55" w:rsidRPr="00CC58BE" w:rsidRDefault="00C64F55" w:rsidP="007C0BDF">
            <w:pPr>
              <w:pStyle w:val="Tablefooterlastline"/>
            </w:pPr>
            <w:r w:rsidRPr="00A07E93">
              <w:t>Sou</w:t>
            </w:r>
            <w:r w:rsidR="006C38C7">
              <w:t>CCC</w:t>
            </w:r>
            <w:r w:rsidRPr="00A07E93">
              <w:t xml:space="preserve">e: EMSI Complete Data </w:t>
            </w:r>
            <w:r w:rsidR="004F7D7D">
              <w:t>2014.3</w:t>
            </w:r>
          </w:p>
        </w:tc>
      </w:tr>
    </w:tbl>
    <w:p w14:paraId="0CFF2CC0" w14:textId="423B9B71" w:rsidR="0045113D" w:rsidRDefault="002E535D" w:rsidP="00053FED">
      <w:r>
        <w:t>Office &amp; administrative support</w:t>
      </w:r>
      <w:r w:rsidR="00345030">
        <w:t xml:space="preserve"> </w:t>
      </w:r>
      <w:r w:rsidR="00897194">
        <w:t xml:space="preserve">occupations </w:t>
      </w:r>
      <w:r w:rsidR="001510DF">
        <w:t xml:space="preserve">comprise the largest occupation group in the </w:t>
      </w:r>
      <w:r w:rsidR="006C38C7">
        <w:t>CCC</w:t>
      </w:r>
      <w:r w:rsidR="001510DF">
        <w:t xml:space="preserve"> </w:t>
      </w:r>
      <w:r w:rsidR="00B101E7">
        <w:t>Economic Region</w:t>
      </w:r>
      <w:r w:rsidR="001510DF">
        <w:t xml:space="preserve"> at </w:t>
      </w:r>
      <w:r>
        <w:t>8</w:t>
      </w:r>
      <w:r w:rsidR="00F62306">
        <w:t>9,685</w:t>
      </w:r>
      <w:r w:rsidR="00392052">
        <w:t xml:space="preserve"> </w:t>
      </w:r>
      <w:r w:rsidR="001510DF">
        <w:t>jobs, followed by</w:t>
      </w:r>
      <w:r w:rsidR="00897194">
        <w:t xml:space="preserve"> </w:t>
      </w:r>
      <w:r w:rsidR="00F62306">
        <w:t>farming, fishing, &amp; forestry</w:t>
      </w:r>
      <w:r w:rsidRPr="002E535D">
        <w:t xml:space="preserve"> </w:t>
      </w:r>
      <w:r w:rsidR="00897194">
        <w:t>occupations</w:t>
      </w:r>
      <w:r w:rsidR="001510DF">
        <w:t xml:space="preserve"> at </w:t>
      </w:r>
      <w:r w:rsidR="00F62306">
        <w:t>84,209</w:t>
      </w:r>
      <w:r w:rsidR="001510DF">
        <w:t xml:space="preserve"> jobs. </w:t>
      </w:r>
      <w:r w:rsidR="00806A54">
        <w:t xml:space="preserve">Neither of these occupation groups ranks among the highest paid, however. </w:t>
      </w:r>
      <w:r w:rsidR="00F62306">
        <w:t>Healthcare practitioners &amp; technical</w:t>
      </w:r>
      <w:r w:rsidR="00E22857" w:rsidRPr="00392052">
        <w:t xml:space="preserve"> </w:t>
      </w:r>
      <w:r w:rsidR="00E22857">
        <w:t>occupations have median earnings of $</w:t>
      </w:r>
      <w:r w:rsidR="00F62306">
        <w:t>39.22</w:t>
      </w:r>
      <w:r w:rsidR="00E22857">
        <w:t xml:space="preserve"> an hour, the highest on the regional pay scale. </w:t>
      </w:r>
      <w:r w:rsidR="00B0115F">
        <w:t>Legal</w:t>
      </w:r>
      <w:r w:rsidR="00806A54">
        <w:t xml:space="preserve"> occupations </w:t>
      </w:r>
      <w:r w:rsidR="00881D3A">
        <w:t xml:space="preserve">– while the smallest occupation group – </w:t>
      </w:r>
      <w:r w:rsidR="00806A54">
        <w:t>have median earnings of $</w:t>
      </w:r>
      <w:r w:rsidR="00F62306">
        <w:t>37.16</w:t>
      </w:r>
      <w:r w:rsidR="00222A71">
        <w:t xml:space="preserve"> </w:t>
      </w:r>
      <w:r w:rsidR="00806A54">
        <w:t xml:space="preserve">an hour, ranking </w:t>
      </w:r>
      <w:r>
        <w:t xml:space="preserve">second </w:t>
      </w:r>
      <w:r w:rsidR="00806A54">
        <w:t>high</w:t>
      </w:r>
      <w:r w:rsidR="00737251">
        <w:t>est</w:t>
      </w:r>
      <w:r w:rsidR="00806A54">
        <w:t xml:space="preserve"> on the regional pay scale. </w:t>
      </w:r>
      <w:r w:rsidR="008866CF">
        <w:t>S</w:t>
      </w:r>
      <w:r w:rsidR="00D51A4C">
        <w:t xml:space="preserve">everal of the higher-paying occupation groups are </w:t>
      </w:r>
      <w:r w:rsidR="008866CF">
        <w:t xml:space="preserve">also </w:t>
      </w:r>
      <w:r w:rsidR="00D51A4C">
        <w:t xml:space="preserve">projected to experience job growth over the next ten years, </w:t>
      </w:r>
      <w:r w:rsidR="00D51A4C">
        <w:lastRenderedPageBreak/>
        <w:t>such as</w:t>
      </w:r>
      <w:r w:rsidR="00392052">
        <w:t xml:space="preserve"> </w:t>
      </w:r>
      <w:r w:rsidR="00455539">
        <w:t>healthcare practitioners &amp; te</w:t>
      </w:r>
      <w:r w:rsidR="00F62306">
        <w:t>chnical services occupations (21</w:t>
      </w:r>
      <w:r w:rsidR="00455539">
        <w:t>%) and</w:t>
      </w:r>
      <w:r w:rsidR="00455539" w:rsidRPr="00455539">
        <w:t xml:space="preserve"> </w:t>
      </w:r>
      <w:r w:rsidR="00455539">
        <w:t xml:space="preserve">computer &amp; mathematical </w:t>
      </w:r>
      <w:r w:rsidR="00DE0C2E">
        <w:t>occupations (</w:t>
      </w:r>
      <w:r w:rsidR="00455539">
        <w:t>2</w:t>
      </w:r>
      <w:r w:rsidR="00F62306">
        <w:t>0</w:t>
      </w:r>
      <w:r w:rsidR="00DE0C2E">
        <w:t>%)</w:t>
      </w:r>
      <w:r w:rsidR="00392052">
        <w:t>.</w:t>
      </w:r>
    </w:p>
    <w:p w14:paraId="39B6CFFC" w14:textId="332DEA17" w:rsidR="00D51A4C" w:rsidRDefault="009440AD" w:rsidP="00E95674">
      <w:r>
        <w:t xml:space="preserve">Figure </w:t>
      </w:r>
      <w:r w:rsidR="00DE6B86">
        <w:t>1.</w:t>
      </w:r>
      <w:r>
        <w:t>3</w:t>
      </w:r>
      <w:r w:rsidRPr="00BB68E4">
        <w:t xml:space="preserve"> provides a look at the average annual job openings </w:t>
      </w:r>
      <w:r>
        <w:t xml:space="preserve">for </w:t>
      </w:r>
      <w:r w:rsidR="006E5B0D">
        <w:t xml:space="preserve">workers with </w:t>
      </w:r>
      <w:r w:rsidR="00FA732A">
        <w:t>some college</w:t>
      </w:r>
      <w:r>
        <w:t xml:space="preserve"> or above</w:t>
      </w:r>
      <w:r w:rsidR="006E5B0D">
        <w:t xml:space="preserve"> by occupation group</w:t>
      </w:r>
      <w:r w:rsidRPr="00BB68E4">
        <w:t>.</w:t>
      </w:r>
      <w:r w:rsidR="00053FED">
        <w:t xml:space="preserve"> </w:t>
      </w:r>
      <w:r w:rsidR="00FA732A">
        <w:t>Job ope</w:t>
      </w:r>
      <w:r w:rsidR="006E5B0D">
        <w:t xml:space="preserve">nings refer to new jobs due to growth plus replacement jobs due to worker turnover. Between </w:t>
      </w:r>
      <w:r w:rsidR="008B0385">
        <w:t>2014</w:t>
      </w:r>
      <w:r w:rsidR="006E5B0D">
        <w:t xml:space="preserve"> and </w:t>
      </w:r>
      <w:r w:rsidR="008B0385">
        <w:t>2024</w:t>
      </w:r>
      <w:r w:rsidR="006E5B0D">
        <w:t>, t</w:t>
      </w:r>
      <w:r w:rsidR="00D51A4C">
        <w:t xml:space="preserve">he </w:t>
      </w:r>
      <w:r w:rsidR="006E5B0D">
        <w:t xml:space="preserve">occupations with the </w:t>
      </w:r>
      <w:r w:rsidR="00D51A4C" w:rsidRPr="0004684E">
        <w:t xml:space="preserve">highest number of average annual job openings </w:t>
      </w:r>
      <w:r w:rsidR="00D51A4C">
        <w:t xml:space="preserve">for </w:t>
      </w:r>
      <w:r w:rsidR="006E5B0D">
        <w:t>workers with some college or above occur</w:t>
      </w:r>
      <w:r w:rsidR="004C1209">
        <w:t>s</w:t>
      </w:r>
      <w:r w:rsidR="006E5B0D">
        <w:t xml:space="preserve"> in </w:t>
      </w:r>
      <w:r w:rsidR="00F62306">
        <w:t xml:space="preserve">office &amp; administrative support occupations; </w:t>
      </w:r>
      <w:r w:rsidR="00DF50C4" w:rsidRPr="0004684E">
        <w:t xml:space="preserve">sales </w:t>
      </w:r>
      <w:r w:rsidR="00DF50C4">
        <w:t>&amp;</w:t>
      </w:r>
      <w:r w:rsidR="00DF50C4" w:rsidRPr="0004684E">
        <w:t xml:space="preserve"> related occupations</w:t>
      </w:r>
      <w:r w:rsidR="00F62306">
        <w:t>;</w:t>
      </w:r>
      <w:r w:rsidR="00DF50C4">
        <w:t xml:space="preserve"> </w:t>
      </w:r>
      <w:r w:rsidR="00737251">
        <w:t xml:space="preserve">and </w:t>
      </w:r>
      <w:r w:rsidR="00F62306">
        <w:t>education, training, &amp; library</w:t>
      </w:r>
      <w:r w:rsidR="00DB6CFB">
        <w:t xml:space="preserve"> </w:t>
      </w:r>
      <w:r w:rsidR="00737251">
        <w:t>occupations</w:t>
      </w:r>
      <w:r w:rsidR="00D51A4C" w:rsidRPr="0004684E">
        <w:t xml:space="preserve">. </w:t>
      </w:r>
    </w:p>
    <w:p w14:paraId="5AA5B968" w14:textId="07487EE0" w:rsidR="00D22B8D" w:rsidRPr="0004684E" w:rsidRDefault="006D1C88" w:rsidP="004D7F78">
      <w:pPr>
        <w:pStyle w:val="FigureTitle"/>
      </w:pPr>
      <w:r w:rsidRPr="0004684E">
        <w:t xml:space="preserve">Figure </w:t>
      </w:r>
      <w:r w:rsidR="00DE6B86">
        <w:t>1.</w:t>
      </w:r>
      <w:r>
        <w:t>3</w:t>
      </w:r>
      <w:r w:rsidRPr="0004684E">
        <w:t>: A</w:t>
      </w:r>
      <w:r>
        <w:t>verage An</w:t>
      </w:r>
      <w:r w:rsidR="00CC58BE">
        <w:t>nual Opening</w:t>
      </w:r>
      <w:r w:rsidR="007462F4">
        <w:t>s</w:t>
      </w:r>
      <w:r w:rsidR="00CC58BE">
        <w:t xml:space="preserve"> </w:t>
      </w:r>
      <w:r w:rsidR="00FA732A">
        <w:t xml:space="preserve">between </w:t>
      </w:r>
      <w:r w:rsidR="008B0385">
        <w:t>2014</w:t>
      </w:r>
      <w:r w:rsidR="00FA732A">
        <w:t xml:space="preserve"> and </w:t>
      </w:r>
      <w:r w:rsidR="008B0385">
        <w:t>2024</w:t>
      </w:r>
      <w:r w:rsidR="00FA732A">
        <w:t xml:space="preserve"> for Workers with Some College and Above by Occupation Group </w:t>
      </w:r>
      <w:r>
        <w:t>i</w:t>
      </w:r>
      <w:r w:rsidRPr="0004684E">
        <w:t xml:space="preserve">n </w:t>
      </w:r>
      <w:r w:rsidR="004D7F78">
        <w:t xml:space="preserve">the </w:t>
      </w:r>
      <w:r w:rsidR="006C38C7">
        <w:t>CCC</w:t>
      </w:r>
      <w:r w:rsidR="004D7F78">
        <w:t xml:space="preserve"> </w:t>
      </w:r>
      <w:r w:rsidR="00B101E7">
        <w:t>Economic Region</w:t>
      </w:r>
    </w:p>
    <w:p w14:paraId="568BAE89" w14:textId="684EF49D" w:rsidR="006E5B0D" w:rsidRDefault="00F62306" w:rsidP="00963EC2">
      <w:pPr>
        <w:spacing w:before="0" w:after="0"/>
        <w:rPr>
          <w:noProof/>
        </w:rPr>
      </w:pPr>
      <w:r>
        <w:rPr>
          <w:noProof/>
        </w:rPr>
        <w:drawing>
          <wp:inline distT="0" distB="0" distL="0" distR="0" wp14:anchorId="380B0F97" wp14:editId="5BCBEE08">
            <wp:extent cx="5943600" cy="41052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B3A2FF" w14:textId="18A8F780" w:rsidR="006E5B0D" w:rsidRDefault="00C852DE" w:rsidP="00C852DE">
      <w:pPr>
        <w:pStyle w:val="Tablefooterlastline"/>
        <w:jc w:val="right"/>
        <w:rPr>
          <w:noProof/>
        </w:rPr>
      </w:pPr>
      <w:r>
        <w:rPr>
          <w:noProof/>
        </w:rPr>
        <w:t>Sou</w:t>
      </w:r>
      <w:r w:rsidR="006C38C7">
        <w:rPr>
          <w:noProof/>
        </w:rPr>
        <w:t>CCC</w:t>
      </w:r>
      <w:r>
        <w:rPr>
          <w:noProof/>
        </w:rPr>
        <w:t>e:</w:t>
      </w:r>
      <w:r w:rsidRPr="00C852DE">
        <w:t xml:space="preserve"> </w:t>
      </w:r>
      <w:r>
        <w:t xml:space="preserve">EMSI Complete Data </w:t>
      </w:r>
      <w:r w:rsidR="004F7D7D">
        <w:t>2014.3</w:t>
      </w:r>
    </w:p>
    <w:p w14:paraId="6AD4D01E" w14:textId="3E825836" w:rsidR="00D22B8D" w:rsidRDefault="001A6A8F" w:rsidP="00D64B11">
      <w:pPr>
        <w:pStyle w:val="Heading2"/>
      </w:pPr>
      <w:bookmarkStart w:id="11" w:name="_Toc428785408"/>
      <w:r>
        <w:t>Commuting Patterns</w:t>
      </w:r>
      <w:bookmarkEnd w:id="11"/>
    </w:p>
    <w:p w14:paraId="24767A60" w14:textId="146BB46C" w:rsidR="0085386F" w:rsidRDefault="00231E13" w:rsidP="004D7F78">
      <w:r>
        <w:t>The Longitudinal Employer-Household Dynamics (LEHD) program</w:t>
      </w:r>
      <w:r>
        <w:rPr>
          <w:rStyle w:val="FootnoteReference"/>
          <w:rFonts w:asciiTheme="minorHAnsi" w:hAnsiTheme="minorHAnsi" w:cstheme="minorHAnsi"/>
          <w:color w:val="000000"/>
          <w:sz w:val="22"/>
          <w:szCs w:val="22"/>
        </w:rPr>
        <w:footnoteReference w:id="3"/>
      </w:r>
      <w:r w:rsidRPr="0004684E">
        <w:t xml:space="preserve"> </w:t>
      </w:r>
      <w:r>
        <w:t>at the U.S. Census Bureau provides</w:t>
      </w:r>
      <w:r w:rsidR="00D04680">
        <w:t xml:space="preserve"> information on the residential and employment locations </w:t>
      </w:r>
      <w:r>
        <w:t>of workers.</w:t>
      </w:r>
      <w:r w:rsidR="00925DE9">
        <w:t xml:space="preserve"> “Jobs by place of work” refers to </w:t>
      </w:r>
      <w:r w:rsidR="005B3A07">
        <w:t>where residents of the region commute to</w:t>
      </w:r>
      <w:r w:rsidR="0085386F">
        <w:t xml:space="preserve"> work</w:t>
      </w:r>
      <w:r w:rsidR="00F62306">
        <w:t>, and “J</w:t>
      </w:r>
      <w:r w:rsidR="00925DE9">
        <w:t xml:space="preserve">obs by place of residence” refers </w:t>
      </w:r>
      <w:r w:rsidR="005B3A07">
        <w:t>to where workers in the region live</w:t>
      </w:r>
      <w:r w:rsidR="00925DE9">
        <w:t>.</w:t>
      </w:r>
      <w:r w:rsidR="0085386F">
        <w:t xml:space="preserve"> Data for </w:t>
      </w:r>
      <w:r w:rsidR="006628FA">
        <w:t xml:space="preserve">the </w:t>
      </w:r>
      <w:r w:rsidR="006C38C7">
        <w:t>CCC</w:t>
      </w:r>
      <w:r w:rsidR="006628FA">
        <w:t xml:space="preserve"> </w:t>
      </w:r>
      <w:r w:rsidR="00B101E7">
        <w:t>Economic Region</w:t>
      </w:r>
      <w:r w:rsidR="0085386F">
        <w:t xml:space="preserve"> </w:t>
      </w:r>
      <w:r w:rsidR="0085386F">
        <w:lastRenderedPageBreak/>
        <w:t>appear</w:t>
      </w:r>
      <w:r w:rsidR="005B1AB2">
        <w:t>s</w:t>
      </w:r>
      <w:r w:rsidR="0085386F">
        <w:t xml:space="preserve"> in Tables </w:t>
      </w:r>
      <w:r w:rsidR="00DE6B86">
        <w:t>1.</w:t>
      </w:r>
      <w:r w:rsidR="0085386F">
        <w:t xml:space="preserve">4 and </w:t>
      </w:r>
      <w:r w:rsidR="00DE6B86">
        <w:t>1.</w:t>
      </w:r>
      <w:r w:rsidR="0085386F">
        <w:t>5</w:t>
      </w:r>
      <w:r w:rsidR="005B3A07">
        <w:t xml:space="preserve">, with the same information displayed in </w:t>
      </w:r>
      <w:r w:rsidR="0085386F">
        <w:t xml:space="preserve">Figures </w:t>
      </w:r>
      <w:r w:rsidR="00DE6B86">
        <w:t>1.</w:t>
      </w:r>
      <w:r w:rsidR="0085386F">
        <w:t xml:space="preserve">4 and </w:t>
      </w:r>
      <w:r w:rsidR="00DE6B86">
        <w:t>1.</w:t>
      </w:r>
      <w:r w:rsidR="0085386F">
        <w:t>5.</w:t>
      </w:r>
    </w:p>
    <w:p w14:paraId="76E503EF" w14:textId="69423530" w:rsidR="00AA353F" w:rsidRDefault="00E03523" w:rsidP="004D7F78">
      <w:r>
        <w:t>A</w:t>
      </w:r>
      <w:r w:rsidR="0085386F">
        <w:t>pproximately</w:t>
      </w:r>
      <w:r w:rsidR="007E2C3F">
        <w:t xml:space="preserve"> </w:t>
      </w:r>
      <w:r w:rsidR="00F62306">
        <w:t>20.9</w:t>
      </w:r>
      <w:r w:rsidR="0013400C">
        <w:t xml:space="preserve">% of residents commute outside </w:t>
      </w:r>
      <w:r w:rsidR="006628FA">
        <w:t xml:space="preserve">the </w:t>
      </w:r>
      <w:r w:rsidR="006C38C7">
        <w:t>CCC</w:t>
      </w:r>
      <w:r w:rsidR="006628FA">
        <w:t xml:space="preserve"> </w:t>
      </w:r>
      <w:r w:rsidR="00B101E7">
        <w:t>Economic Region</w:t>
      </w:r>
      <w:r w:rsidR="0085386F">
        <w:t xml:space="preserve"> for work</w:t>
      </w:r>
      <w:r w:rsidR="0013400C">
        <w:t xml:space="preserve">, indicating that there </w:t>
      </w:r>
      <w:r w:rsidR="0085386F">
        <w:t xml:space="preserve">are </w:t>
      </w:r>
      <w:r w:rsidR="0013400C">
        <w:t xml:space="preserve">economic </w:t>
      </w:r>
      <w:r w:rsidR="00D12627">
        <w:t xml:space="preserve">links </w:t>
      </w:r>
      <w:r w:rsidR="0085386F">
        <w:t xml:space="preserve">between the </w:t>
      </w:r>
      <w:r w:rsidR="005B1AB2">
        <w:t>county</w:t>
      </w:r>
      <w:r w:rsidR="0085386F">
        <w:t xml:space="preserve"> and </w:t>
      </w:r>
      <w:r w:rsidR="0013400C">
        <w:t xml:space="preserve">surrounding communities. </w:t>
      </w:r>
      <w:r w:rsidR="00455539">
        <w:t xml:space="preserve">Nearly </w:t>
      </w:r>
      <w:r w:rsidR="00F62306">
        <w:t>half</w:t>
      </w:r>
      <w:r w:rsidR="00455539">
        <w:t xml:space="preserve"> of the residents work in</w:t>
      </w:r>
      <w:r w:rsidR="005B1AB2">
        <w:t xml:space="preserve"> </w:t>
      </w:r>
      <w:r w:rsidR="00F62306">
        <w:t>Fresno</w:t>
      </w:r>
      <w:r w:rsidR="003E7E33">
        <w:t xml:space="preserve"> County</w:t>
      </w:r>
      <w:r w:rsidR="00BC7B5F">
        <w:t xml:space="preserve"> (</w:t>
      </w:r>
      <w:r w:rsidR="001D3628">
        <w:t>4</w:t>
      </w:r>
      <w:r w:rsidR="00F62306">
        <w:t>7</w:t>
      </w:r>
      <w:r w:rsidR="001D3628">
        <w:t>.</w:t>
      </w:r>
      <w:r w:rsidR="00F62306">
        <w:t>6</w:t>
      </w:r>
      <w:r w:rsidR="00BC7B5F">
        <w:t xml:space="preserve">%), and a significant portion of residents work in </w:t>
      </w:r>
      <w:r w:rsidR="00F62306">
        <w:t>Tulare</w:t>
      </w:r>
      <w:r w:rsidR="00BC7B5F">
        <w:t xml:space="preserve"> County</w:t>
      </w:r>
      <w:r w:rsidR="003E7E33">
        <w:t xml:space="preserve"> </w:t>
      </w:r>
      <w:r w:rsidR="00BC7B5F">
        <w:t>(1</w:t>
      </w:r>
      <w:r w:rsidR="00F62306">
        <w:t>9.8%</w:t>
      </w:r>
      <w:r w:rsidR="001D3628">
        <w:t>)</w:t>
      </w:r>
      <w:r w:rsidR="00040A87">
        <w:t>.</w:t>
      </w:r>
      <w:r w:rsidR="00455539">
        <w:t xml:space="preserve"> </w:t>
      </w:r>
      <w:r>
        <w:t xml:space="preserve">Table </w:t>
      </w:r>
      <w:r w:rsidR="00DE6B86">
        <w:t>1.</w:t>
      </w:r>
      <w:r>
        <w:t xml:space="preserve">4 </w:t>
      </w:r>
      <w:r w:rsidR="00384961">
        <w:t xml:space="preserve">and Figure </w:t>
      </w:r>
      <w:r w:rsidR="00DE6B86">
        <w:t>1.</w:t>
      </w:r>
      <w:r w:rsidR="00384961">
        <w:t xml:space="preserve">4 </w:t>
      </w:r>
      <w:r>
        <w:t xml:space="preserve">display the top ten </w:t>
      </w:r>
      <w:r w:rsidR="001C569D">
        <w:t xml:space="preserve">employment counties </w:t>
      </w:r>
      <w:r>
        <w:t xml:space="preserve">for </w:t>
      </w:r>
      <w:r w:rsidR="006C38C7">
        <w:t>CCC</w:t>
      </w:r>
      <w:r w:rsidR="006628FA">
        <w:t xml:space="preserve"> </w:t>
      </w:r>
      <w:r w:rsidR="00B101E7">
        <w:t>Economic Region</w:t>
      </w:r>
      <w:r w:rsidR="00C56124">
        <w:t xml:space="preserve"> </w:t>
      </w:r>
      <w:r>
        <w:t>residents.</w:t>
      </w:r>
      <w:r w:rsidR="004D07CA">
        <w:t xml:space="preserve"> </w:t>
      </w:r>
    </w:p>
    <w:tbl>
      <w:tblPr>
        <w:tblStyle w:val="MediumShading1-Accent1"/>
        <w:tblW w:w="9468" w:type="dxa"/>
        <w:tblLook w:val="04A0" w:firstRow="1" w:lastRow="0" w:firstColumn="1" w:lastColumn="0" w:noHBand="0" w:noVBand="1"/>
      </w:tblPr>
      <w:tblGrid>
        <w:gridCol w:w="4428"/>
        <w:gridCol w:w="2520"/>
        <w:gridCol w:w="2520"/>
      </w:tblGrid>
      <w:tr w:rsidR="0085386F" w:rsidRPr="00377B00" w14:paraId="51C87F36" w14:textId="77777777" w:rsidTr="00845E92">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right w:val="nil"/>
            </w:tcBorders>
            <w:shd w:val="clear" w:color="auto" w:fill="auto"/>
            <w:noWrap/>
            <w:vAlign w:val="bottom"/>
          </w:tcPr>
          <w:p w14:paraId="117F0AA8" w14:textId="6C81F00D" w:rsidR="0085386F" w:rsidRPr="00244673" w:rsidRDefault="0085386F" w:rsidP="00845E92">
            <w:pPr>
              <w:pStyle w:val="Tabletitle"/>
              <w:rPr>
                <w:b/>
              </w:rPr>
            </w:pPr>
            <w:r w:rsidRPr="00244673">
              <w:rPr>
                <w:rFonts w:eastAsiaTheme="majorEastAsia"/>
                <w:b/>
              </w:rPr>
              <w:t xml:space="preserve">Table </w:t>
            </w:r>
            <w:r w:rsidR="00DE6B86">
              <w:rPr>
                <w:rFonts w:eastAsiaTheme="majorEastAsia"/>
                <w:b/>
              </w:rPr>
              <w:t>1.</w:t>
            </w:r>
            <w:r w:rsidRPr="00244673">
              <w:rPr>
                <w:rFonts w:eastAsiaTheme="majorEastAsia"/>
                <w:b/>
              </w:rPr>
              <w:t xml:space="preserve">4: </w:t>
            </w:r>
            <w:r w:rsidR="005B3A07">
              <w:rPr>
                <w:rFonts w:eastAsiaTheme="majorEastAsia"/>
                <w:b/>
              </w:rPr>
              <w:t>Jobs by PLace of work</w:t>
            </w:r>
          </w:p>
        </w:tc>
      </w:tr>
      <w:tr w:rsidR="0085386F" w:rsidRPr="00377B00" w14:paraId="2F242499" w14:textId="77777777" w:rsidTr="00845E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shd w:val="clear" w:color="auto" w:fill="4F81BD" w:themeFill="accent1"/>
            <w:noWrap/>
            <w:vAlign w:val="bottom"/>
            <w:hideMark/>
          </w:tcPr>
          <w:p w14:paraId="13C50C97" w14:textId="77777777" w:rsidR="0085386F" w:rsidRPr="00377B00" w:rsidRDefault="0085386F" w:rsidP="00845E92">
            <w:pPr>
              <w:pStyle w:val="Tableheaderleft"/>
            </w:pPr>
            <w:r>
              <w:t>County</w:t>
            </w:r>
          </w:p>
        </w:tc>
        <w:tc>
          <w:tcPr>
            <w:tcW w:w="1331" w:type="pct"/>
            <w:tcBorders>
              <w:left w:val="single" w:sz="8" w:space="0" w:color="7BA0CD" w:themeColor="accent1" w:themeTint="BF"/>
              <w:right w:val="single" w:sz="8" w:space="0" w:color="7BA0CD" w:themeColor="accent1" w:themeTint="BF"/>
            </w:tcBorders>
            <w:shd w:val="clear" w:color="auto" w:fill="4F81BD" w:themeFill="accent1"/>
            <w:noWrap/>
            <w:vAlign w:val="bottom"/>
            <w:hideMark/>
          </w:tcPr>
          <w:p w14:paraId="0980CBC2" w14:textId="6126DFA0" w:rsidR="0085386F" w:rsidRPr="00377B00" w:rsidRDefault="005B3A07" w:rsidP="00845E92">
            <w:pPr>
              <w:pStyle w:val="Tableheadercenter"/>
              <w:cnfStyle w:val="000000100000" w:firstRow="0" w:lastRow="0" w:firstColumn="0" w:lastColumn="0" w:oddVBand="0" w:evenVBand="0" w:oddHBand="1" w:evenHBand="0" w:firstRowFirstColumn="0" w:firstRowLastColumn="0" w:lastRowFirstColumn="0" w:lastRowLastColumn="0"/>
            </w:pPr>
            <w:r>
              <w:t>Jobs</w:t>
            </w:r>
          </w:p>
        </w:tc>
        <w:tc>
          <w:tcPr>
            <w:tcW w:w="1331" w:type="pct"/>
            <w:tcBorders>
              <w:left w:val="single" w:sz="8" w:space="0" w:color="7BA0CD" w:themeColor="accent1" w:themeTint="BF"/>
            </w:tcBorders>
            <w:shd w:val="clear" w:color="auto" w:fill="4F81BD" w:themeFill="accent1"/>
            <w:noWrap/>
            <w:vAlign w:val="bottom"/>
            <w:hideMark/>
          </w:tcPr>
          <w:p w14:paraId="2D158F38" w14:textId="77777777" w:rsidR="0085386F" w:rsidRPr="00377B00" w:rsidRDefault="0085386F" w:rsidP="00845E92">
            <w:pPr>
              <w:pStyle w:val="Tableheadercenter"/>
              <w:cnfStyle w:val="000000100000" w:firstRow="0" w:lastRow="0" w:firstColumn="0" w:lastColumn="0" w:oddVBand="0" w:evenVBand="0" w:oddHBand="1" w:evenHBand="0" w:firstRowFirstColumn="0" w:firstRowLastColumn="0" w:lastRowFirstColumn="0" w:lastRowLastColumn="0"/>
            </w:pPr>
            <w:r w:rsidRPr="00377B00">
              <w:t>Commute Share</w:t>
            </w:r>
          </w:p>
        </w:tc>
      </w:tr>
      <w:tr w:rsidR="00F62306" w:rsidRPr="00377B00" w14:paraId="787D0913" w14:textId="77777777" w:rsidTr="00E86EC1">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189CBF7A" w14:textId="3966891B" w:rsidR="00F62306" w:rsidRPr="005B3A07" w:rsidRDefault="00F62306" w:rsidP="00845E92">
            <w:pPr>
              <w:pStyle w:val="Tablenormalleft"/>
              <w:jc w:val="left"/>
              <w:rPr>
                <w:color w:val="000000"/>
              </w:rPr>
            </w:pPr>
            <w:r w:rsidRPr="008E7F92">
              <w:t>Fresno County</w:t>
            </w:r>
          </w:p>
        </w:tc>
        <w:tc>
          <w:tcPr>
            <w:tcW w:w="1331" w:type="pct"/>
            <w:tcBorders>
              <w:left w:val="single" w:sz="8" w:space="0" w:color="7BA0CD" w:themeColor="accent1" w:themeTint="BF"/>
              <w:right w:val="single" w:sz="8" w:space="0" w:color="7BA0CD" w:themeColor="accent1" w:themeTint="BF"/>
            </w:tcBorders>
            <w:hideMark/>
          </w:tcPr>
          <w:p w14:paraId="506A6025" w14:textId="6D9CF798"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245,822</w:t>
            </w:r>
          </w:p>
        </w:tc>
        <w:tc>
          <w:tcPr>
            <w:tcW w:w="1331" w:type="pct"/>
            <w:tcBorders>
              <w:left w:val="single" w:sz="8" w:space="0" w:color="7BA0CD" w:themeColor="accent1" w:themeTint="BF"/>
            </w:tcBorders>
            <w:hideMark/>
          </w:tcPr>
          <w:p w14:paraId="1BF74775" w14:textId="02397B3E"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47.6%</w:t>
            </w:r>
          </w:p>
        </w:tc>
      </w:tr>
      <w:tr w:rsidR="00F62306" w:rsidRPr="00377B00" w14:paraId="6AB06CD1" w14:textId="77777777" w:rsidTr="00E86EC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6FD2193B" w14:textId="2BE4F133" w:rsidR="00F62306" w:rsidRPr="005B3A07" w:rsidRDefault="00F62306" w:rsidP="00845E92">
            <w:pPr>
              <w:pStyle w:val="Tablenormalleft"/>
              <w:jc w:val="left"/>
              <w:rPr>
                <w:color w:val="000000"/>
              </w:rPr>
            </w:pPr>
            <w:r w:rsidRPr="008E7F92">
              <w:t>Tulare County</w:t>
            </w:r>
          </w:p>
        </w:tc>
        <w:tc>
          <w:tcPr>
            <w:tcW w:w="1331" w:type="pct"/>
            <w:tcBorders>
              <w:left w:val="single" w:sz="8" w:space="0" w:color="7BA0CD" w:themeColor="accent1" w:themeTint="BF"/>
              <w:right w:val="single" w:sz="8" w:space="0" w:color="7BA0CD" w:themeColor="accent1" w:themeTint="BF"/>
            </w:tcBorders>
            <w:hideMark/>
          </w:tcPr>
          <w:p w14:paraId="6A1EEBE2" w14:textId="44A1CCD8"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102,408</w:t>
            </w:r>
          </w:p>
        </w:tc>
        <w:tc>
          <w:tcPr>
            <w:tcW w:w="1331" w:type="pct"/>
            <w:tcBorders>
              <w:left w:val="single" w:sz="8" w:space="0" w:color="7BA0CD" w:themeColor="accent1" w:themeTint="BF"/>
            </w:tcBorders>
            <w:hideMark/>
          </w:tcPr>
          <w:p w14:paraId="3F4C3C41" w14:textId="3902C8D3"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19.8%</w:t>
            </w:r>
          </w:p>
        </w:tc>
      </w:tr>
      <w:tr w:rsidR="00F62306" w:rsidRPr="00377B00" w14:paraId="77625586" w14:textId="77777777" w:rsidTr="00E86EC1">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0D4B7AA6" w14:textId="1AC0AC89" w:rsidR="00F62306" w:rsidRPr="005B3A07" w:rsidRDefault="00F62306" w:rsidP="00845E92">
            <w:pPr>
              <w:pStyle w:val="Tablenormalleft"/>
              <w:jc w:val="left"/>
              <w:rPr>
                <w:color w:val="000000"/>
              </w:rPr>
            </w:pPr>
            <w:r w:rsidRPr="008E7F92">
              <w:t>Kings County</w:t>
            </w:r>
          </w:p>
        </w:tc>
        <w:tc>
          <w:tcPr>
            <w:tcW w:w="1331" w:type="pct"/>
            <w:tcBorders>
              <w:left w:val="single" w:sz="8" w:space="0" w:color="7BA0CD" w:themeColor="accent1" w:themeTint="BF"/>
              <w:right w:val="single" w:sz="8" w:space="0" w:color="7BA0CD" w:themeColor="accent1" w:themeTint="BF"/>
            </w:tcBorders>
            <w:hideMark/>
          </w:tcPr>
          <w:p w14:paraId="23ACFB49" w14:textId="7DF086B9"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30,429</w:t>
            </w:r>
          </w:p>
        </w:tc>
        <w:tc>
          <w:tcPr>
            <w:tcW w:w="1331" w:type="pct"/>
            <w:tcBorders>
              <w:left w:val="single" w:sz="8" w:space="0" w:color="7BA0CD" w:themeColor="accent1" w:themeTint="BF"/>
            </w:tcBorders>
            <w:hideMark/>
          </w:tcPr>
          <w:p w14:paraId="3E30F636" w14:textId="6FEEDDE0"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5.9%</w:t>
            </w:r>
          </w:p>
        </w:tc>
      </w:tr>
      <w:tr w:rsidR="00F62306" w:rsidRPr="00377B00" w14:paraId="4DD9CEFF" w14:textId="77777777" w:rsidTr="00E86EC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1277E2B4" w14:textId="02AA188E" w:rsidR="00F62306" w:rsidRPr="005B3A07" w:rsidRDefault="00F62306" w:rsidP="00845E92">
            <w:pPr>
              <w:pStyle w:val="Tablenormalleft"/>
              <w:jc w:val="left"/>
              <w:rPr>
                <w:color w:val="000000"/>
              </w:rPr>
            </w:pPr>
            <w:r w:rsidRPr="008E7F92">
              <w:t>Madera County</w:t>
            </w:r>
          </w:p>
        </w:tc>
        <w:tc>
          <w:tcPr>
            <w:tcW w:w="1331" w:type="pct"/>
            <w:tcBorders>
              <w:left w:val="single" w:sz="8" w:space="0" w:color="7BA0CD" w:themeColor="accent1" w:themeTint="BF"/>
              <w:right w:val="single" w:sz="8" w:space="0" w:color="7BA0CD" w:themeColor="accent1" w:themeTint="BF"/>
            </w:tcBorders>
            <w:hideMark/>
          </w:tcPr>
          <w:p w14:paraId="1C40D1F5" w14:textId="1455E558"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29,928</w:t>
            </w:r>
          </w:p>
        </w:tc>
        <w:tc>
          <w:tcPr>
            <w:tcW w:w="1331" w:type="pct"/>
            <w:tcBorders>
              <w:left w:val="single" w:sz="8" w:space="0" w:color="7BA0CD" w:themeColor="accent1" w:themeTint="BF"/>
            </w:tcBorders>
            <w:hideMark/>
          </w:tcPr>
          <w:p w14:paraId="7DC3712D" w14:textId="09571877"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5.8%</w:t>
            </w:r>
          </w:p>
        </w:tc>
      </w:tr>
      <w:tr w:rsidR="00F62306" w:rsidRPr="00377B00" w14:paraId="745C3AFC" w14:textId="77777777" w:rsidTr="00E86EC1">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37E6EC05" w14:textId="0A85CF07" w:rsidR="00F62306" w:rsidRPr="005B3A07" w:rsidRDefault="00F62306" w:rsidP="00845E92">
            <w:pPr>
              <w:pStyle w:val="Tablenormalleft"/>
              <w:jc w:val="left"/>
              <w:rPr>
                <w:color w:val="000000"/>
              </w:rPr>
            </w:pPr>
            <w:r w:rsidRPr="008E7F92">
              <w:t>Los Angeles County</w:t>
            </w:r>
          </w:p>
        </w:tc>
        <w:tc>
          <w:tcPr>
            <w:tcW w:w="1331" w:type="pct"/>
            <w:tcBorders>
              <w:left w:val="single" w:sz="8" w:space="0" w:color="7BA0CD" w:themeColor="accent1" w:themeTint="BF"/>
              <w:right w:val="single" w:sz="8" w:space="0" w:color="7BA0CD" w:themeColor="accent1" w:themeTint="BF"/>
            </w:tcBorders>
            <w:hideMark/>
          </w:tcPr>
          <w:p w14:paraId="30F95E6C" w14:textId="79D03D11"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15,690</w:t>
            </w:r>
          </w:p>
        </w:tc>
        <w:tc>
          <w:tcPr>
            <w:tcW w:w="1331" w:type="pct"/>
            <w:tcBorders>
              <w:left w:val="single" w:sz="8" w:space="0" w:color="7BA0CD" w:themeColor="accent1" w:themeTint="BF"/>
            </w:tcBorders>
            <w:hideMark/>
          </w:tcPr>
          <w:p w14:paraId="69A83092" w14:textId="244E4DC3"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3.0%</w:t>
            </w:r>
          </w:p>
        </w:tc>
      </w:tr>
      <w:tr w:rsidR="00F62306" w:rsidRPr="00377B00" w14:paraId="18CF219E" w14:textId="77777777" w:rsidTr="00E86EC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114FCF9C" w14:textId="77B76EB0" w:rsidR="00F62306" w:rsidRPr="005B3A07" w:rsidRDefault="00F62306" w:rsidP="00845E92">
            <w:pPr>
              <w:pStyle w:val="Tablenormalleft"/>
              <w:jc w:val="left"/>
              <w:rPr>
                <w:color w:val="000000"/>
              </w:rPr>
            </w:pPr>
            <w:r w:rsidRPr="008E7F92">
              <w:t>Kern County</w:t>
            </w:r>
          </w:p>
        </w:tc>
        <w:tc>
          <w:tcPr>
            <w:tcW w:w="1331" w:type="pct"/>
            <w:tcBorders>
              <w:left w:val="single" w:sz="8" w:space="0" w:color="7BA0CD" w:themeColor="accent1" w:themeTint="BF"/>
              <w:right w:val="single" w:sz="8" w:space="0" w:color="7BA0CD" w:themeColor="accent1" w:themeTint="BF"/>
            </w:tcBorders>
            <w:hideMark/>
          </w:tcPr>
          <w:p w14:paraId="3DDC431A" w14:textId="4B4092D4"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15,011</w:t>
            </w:r>
          </w:p>
        </w:tc>
        <w:tc>
          <w:tcPr>
            <w:tcW w:w="1331" w:type="pct"/>
            <w:tcBorders>
              <w:left w:val="single" w:sz="8" w:space="0" w:color="7BA0CD" w:themeColor="accent1" w:themeTint="BF"/>
            </w:tcBorders>
            <w:hideMark/>
          </w:tcPr>
          <w:p w14:paraId="46071576" w14:textId="49DAC527"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2.9%</w:t>
            </w:r>
          </w:p>
        </w:tc>
      </w:tr>
      <w:tr w:rsidR="00F62306" w:rsidRPr="00377B00" w14:paraId="7882529D" w14:textId="77777777" w:rsidTr="00E86EC1">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5D496464" w14:textId="32205969" w:rsidR="00F62306" w:rsidRPr="005B3A07" w:rsidRDefault="00F62306" w:rsidP="00845E92">
            <w:pPr>
              <w:pStyle w:val="Tablenormalleft"/>
              <w:jc w:val="left"/>
              <w:rPr>
                <w:color w:val="000000"/>
              </w:rPr>
            </w:pPr>
            <w:r w:rsidRPr="008E7F92">
              <w:t>Sacramento County</w:t>
            </w:r>
          </w:p>
        </w:tc>
        <w:tc>
          <w:tcPr>
            <w:tcW w:w="1331" w:type="pct"/>
            <w:tcBorders>
              <w:left w:val="single" w:sz="8" w:space="0" w:color="7BA0CD" w:themeColor="accent1" w:themeTint="BF"/>
              <w:right w:val="single" w:sz="8" w:space="0" w:color="7BA0CD" w:themeColor="accent1" w:themeTint="BF"/>
            </w:tcBorders>
            <w:hideMark/>
          </w:tcPr>
          <w:p w14:paraId="639D40CB" w14:textId="52E2645A"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8,662</w:t>
            </w:r>
          </w:p>
        </w:tc>
        <w:tc>
          <w:tcPr>
            <w:tcW w:w="1331" w:type="pct"/>
            <w:tcBorders>
              <w:left w:val="single" w:sz="8" w:space="0" w:color="7BA0CD" w:themeColor="accent1" w:themeTint="BF"/>
            </w:tcBorders>
            <w:hideMark/>
          </w:tcPr>
          <w:p w14:paraId="22CB9E3D" w14:textId="32CB5BC2"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1.7%</w:t>
            </w:r>
          </w:p>
        </w:tc>
      </w:tr>
      <w:tr w:rsidR="00F62306" w:rsidRPr="00377B00" w14:paraId="7740C516" w14:textId="77777777" w:rsidTr="00E86EC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3AA843AD" w14:textId="194F59F5" w:rsidR="00F62306" w:rsidRPr="005B3A07" w:rsidRDefault="00F62306" w:rsidP="00845E92">
            <w:pPr>
              <w:pStyle w:val="Tablenormalleft"/>
              <w:jc w:val="left"/>
              <w:rPr>
                <w:color w:val="000000"/>
              </w:rPr>
            </w:pPr>
            <w:r w:rsidRPr="008E7F92">
              <w:t>Santa Clara County</w:t>
            </w:r>
          </w:p>
        </w:tc>
        <w:tc>
          <w:tcPr>
            <w:tcW w:w="1331" w:type="pct"/>
            <w:tcBorders>
              <w:left w:val="single" w:sz="8" w:space="0" w:color="7BA0CD" w:themeColor="accent1" w:themeTint="BF"/>
              <w:right w:val="single" w:sz="8" w:space="0" w:color="7BA0CD" w:themeColor="accent1" w:themeTint="BF"/>
            </w:tcBorders>
            <w:hideMark/>
          </w:tcPr>
          <w:p w14:paraId="64391A3D" w14:textId="2DA279EB"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6,721</w:t>
            </w:r>
          </w:p>
        </w:tc>
        <w:tc>
          <w:tcPr>
            <w:tcW w:w="1331" w:type="pct"/>
            <w:tcBorders>
              <w:left w:val="single" w:sz="8" w:space="0" w:color="7BA0CD" w:themeColor="accent1" w:themeTint="BF"/>
            </w:tcBorders>
            <w:hideMark/>
          </w:tcPr>
          <w:p w14:paraId="7DB0808E" w14:textId="280EEFCE"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1.3%</w:t>
            </w:r>
          </w:p>
        </w:tc>
      </w:tr>
      <w:tr w:rsidR="00F62306" w:rsidRPr="00377B00" w14:paraId="5DCE216C" w14:textId="77777777" w:rsidTr="00E86EC1">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0AD5E6CA" w14:textId="000F0413" w:rsidR="00F62306" w:rsidRPr="005B3A07" w:rsidRDefault="00F62306" w:rsidP="00845E92">
            <w:pPr>
              <w:pStyle w:val="Tablenormalleft"/>
              <w:jc w:val="left"/>
              <w:rPr>
                <w:color w:val="000000"/>
              </w:rPr>
            </w:pPr>
            <w:r w:rsidRPr="008E7F92">
              <w:t>Me</w:t>
            </w:r>
            <w:r w:rsidR="006C38C7">
              <w:t>CCC</w:t>
            </w:r>
            <w:r w:rsidRPr="008E7F92">
              <w:t>ed County</w:t>
            </w:r>
          </w:p>
        </w:tc>
        <w:tc>
          <w:tcPr>
            <w:tcW w:w="1331" w:type="pct"/>
            <w:tcBorders>
              <w:left w:val="single" w:sz="8" w:space="0" w:color="7BA0CD" w:themeColor="accent1" w:themeTint="BF"/>
              <w:right w:val="single" w:sz="8" w:space="0" w:color="7BA0CD" w:themeColor="accent1" w:themeTint="BF"/>
            </w:tcBorders>
            <w:hideMark/>
          </w:tcPr>
          <w:p w14:paraId="4B03885B" w14:textId="7BD126E1"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5,359</w:t>
            </w:r>
          </w:p>
        </w:tc>
        <w:tc>
          <w:tcPr>
            <w:tcW w:w="1331" w:type="pct"/>
            <w:tcBorders>
              <w:left w:val="single" w:sz="8" w:space="0" w:color="7BA0CD" w:themeColor="accent1" w:themeTint="BF"/>
            </w:tcBorders>
            <w:hideMark/>
          </w:tcPr>
          <w:p w14:paraId="6192F501" w14:textId="63B80A62" w:rsidR="00F62306" w:rsidRPr="005B3A07"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1.0%</w:t>
            </w:r>
          </w:p>
        </w:tc>
      </w:tr>
      <w:tr w:rsidR="00F62306" w:rsidRPr="00377B00" w14:paraId="5AA8F6D1" w14:textId="77777777" w:rsidTr="00E86EC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47E501F4" w14:textId="2E7E1B62" w:rsidR="00F62306" w:rsidRPr="005B3A07" w:rsidRDefault="00F62306" w:rsidP="00845E92">
            <w:pPr>
              <w:pStyle w:val="Tablenormalleft"/>
              <w:jc w:val="left"/>
              <w:rPr>
                <w:color w:val="000000"/>
              </w:rPr>
            </w:pPr>
            <w:r w:rsidRPr="008E7F92">
              <w:t>Stanislaus County</w:t>
            </w:r>
          </w:p>
        </w:tc>
        <w:tc>
          <w:tcPr>
            <w:tcW w:w="1331" w:type="pct"/>
            <w:tcBorders>
              <w:left w:val="single" w:sz="8" w:space="0" w:color="7BA0CD" w:themeColor="accent1" w:themeTint="BF"/>
              <w:right w:val="single" w:sz="8" w:space="0" w:color="7BA0CD" w:themeColor="accent1" w:themeTint="BF"/>
            </w:tcBorders>
            <w:hideMark/>
          </w:tcPr>
          <w:p w14:paraId="3788BFB0" w14:textId="494465C9"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5,197</w:t>
            </w:r>
          </w:p>
        </w:tc>
        <w:tc>
          <w:tcPr>
            <w:tcW w:w="1331" w:type="pct"/>
            <w:tcBorders>
              <w:left w:val="single" w:sz="8" w:space="0" w:color="7BA0CD" w:themeColor="accent1" w:themeTint="BF"/>
            </w:tcBorders>
            <w:hideMark/>
          </w:tcPr>
          <w:p w14:paraId="142E98CF" w14:textId="39EF9954" w:rsidR="00F62306" w:rsidRPr="005B3A07" w:rsidRDefault="00F62306" w:rsidP="0045553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8E7F92">
              <w:t>1.0%</w:t>
            </w:r>
          </w:p>
        </w:tc>
      </w:tr>
      <w:tr w:rsidR="00F62306" w:rsidRPr="00377B00" w14:paraId="60BB6332" w14:textId="77777777" w:rsidTr="00E86EC1">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bottom w:val="single" w:sz="8" w:space="0" w:color="7BA0CD" w:themeColor="accent1" w:themeTint="BF"/>
              <w:right w:val="single" w:sz="8" w:space="0" w:color="7BA0CD" w:themeColor="accent1" w:themeTint="BF"/>
            </w:tcBorders>
            <w:noWrap/>
            <w:hideMark/>
          </w:tcPr>
          <w:p w14:paraId="1F11A3EB" w14:textId="417F6C11" w:rsidR="00F62306" w:rsidRPr="00A07E93" w:rsidRDefault="00F62306" w:rsidP="00845E92">
            <w:pPr>
              <w:pStyle w:val="Tablenormalleft"/>
              <w:jc w:val="left"/>
              <w:rPr>
                <w:color w:val="000000"/>
              </w:rPr>
            </w:pPr>
            <w:r w:rsidRPr="008E7F92">
              <w:t>All Other Locations</w:t>
            </w:r>
          </w:p>
        </w:tc>
        <w:tc>
          <w:tcPr>
            <w:tcW w:w="1331" w:type="pct"/>
            <w:tcBorders>
              <w:left w:val="single" w:sz="8" w:space="0" w:color="7BA0CD" w:themeColor="accent1" w:themeTint="BF"/>
              <w:bottom w:val="single" w:sz="8" w:space="0" w:color="7BA0CD" w:themeColor="accent1" w:themeTint="BF"/>
              <w:right w:val="single" w:sz="8" w:space="0" w:color="7BA0CD" w:themeColor="accent1" w:themeTint="BF"/>
            </w:tcBorders>
            <w:hideMark/>
          </w:tcPr>
          <w:p w14:paraId="02CA28BF" w14:textId="4E041471" w:rsidR="00F62306" w:rsidRPr="007D5A3C"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51,360</w:t>
            </w:r>
          </w:p>
        </w:tc>
        <w:tc>
          <w:tcPr>
            <w:tcW w:w="1331" w:type="pct"/>
            <w:tcBorders>
              <w:left w:val="single" w:sz="8" w:space="0" w:color="7BA0CD" w:themeColor="accent1" w:themeTint="BF"/>
              <w:bottom w:val="single" w:sz="8" w:space="0" w:color="7BA0CD" w:themeColor="accent1" w:themeTint="BF"/>
            </w:tcBorders>
            <w:hideMark/>
          </w:tcPr>
          <w:p w14:paraId="2089C79C" w14:textId="1168EFD7" w:rsidR="00F62306" w:rsidRPr="007D5A3C" w:rsidRDefault="00F62306" w:rsidP="0045553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8E7F92">
              <w:t>9.9%</w:t>
            </w:r>
          </w:p>
        </w:tc>
      </w:tr>
      <w:tr w:rsidR="0085386F" w:rsidRPr="002408B0" w14:paraId="1FD81E1B" w14:textId="77777777" w:rsidTr="00845E9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il"/>
              <w:bottom w:val="nil"/>
              <w:right w:val="nil"/>
            </w:tcBorders>
            <w:shd w:val="clear" w:color="auto" w:fill="auto"/>
            <w:noWrap/>
          </w:tcPr>
          <w:p w14:paraId="0FD95680" w14:textId="5DE82828" w:rsidR="0085386F" w:rsidRPr="00A07E93" w:rsidRDefault="0085386F" w:rsidP="00845E92">
            <w:pPr>
              <w:pStyle w:val="Tablefooterlastline"/>
            </w:pPr>
            <w:r w:rsidRPr="00A07E93">
              <w:t>Sou</w:t>
            </w:r>
            <w:r w:rsidR="006C38C7">
              <w:t>CCC</w:t>
            </w:r>
            <w:r w:rsidRPr="00A07E93">
              <w:t>e: Census LEHD</w:t>
            </w:r>
          </w:p>
        </w:tc>
      </w:tr>
    </w:tbl>
    <w:p w14:paraId="1AF150DA" w14:textId="5E14C33D" w:rsidR="00D22B8D" w:rsidRPr="00DD52D4" w:rsidRDefault="00D22B8D" w:rsidP="009F6E39">
      <w:pPr>
        <w:pStyle w:val="FigureTitle"/>
        <w:keepNext/>
        <w:rPr>
          <w:highlight w:val="yellow"/>
        </w:rPr>
      </w:pPr>
      <w:r w:rsidRPr="007626C5">
        <w:lastRenderedPageBreak/>
        <w:t xml:space="preserve">Figure </w:t>
      </w:r>
      <w:r w:rsidR="00FF606A">
        <w:t>1.</w:t>
      </w:r>
      <w:r w:rsidR="000064DC">
        <w:t>4</w:t>
      </w:r>
      <w:r w:rsidRPr="007626C5">
        <w:t xml:space="preserve">: </w:t>
      </w:r>
      <w:r w:rsidR="00C56124">
        <w:t>Jobs by Place of Work</w:t>
      </w:r>
    </w:p>
    <w:p w14:paraId="3D5045DE" w14:textId="5DE677CF" w:rsidR="004F6A68" w:rsidRPr="00E86EC1" w:rsidRDefault="00E86EC1" w:rsidP="0085386F">
      <w:pPr>
        <w:rPr>
          <w:rFonts w:asciiTheme="majorHAnsi" w:eastAsiaTheme="majorEastAsia" w:hAnsiTheme="majorHAnsi" w:cstheme="majorBidi"/>
          <w:b/>
          <w:bCs/>
          <w:color w:val="4F81BD" w:themeColor="accent1"/>
        </w:rPr>
      </w:pPr>
      <w:r>
        <w:rPr>
          <w:noProof/>
        </w:rPr>
        <w:drawing>
          <wp:inline distT="0" distB="0" distL="0" distR="0" wp14:anchorId="04AFFACC" wp14:editId="2EC28005">
            <wp:extent cx="3608683" cy="508635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3"/>
                    <a:stretch>
                      <a:fillRect/>
                    </a:stretch>
                  </pic:blipFill>
                  <pic:spPr>
                    <a:xfrm>
                      <a:off x="0" y="0"/>
                      <a:ext cx="3611787" cy="5090725"/>
                    </a:xfrm>
                    <a:prstGeom prst="rect">
                      <a:avLst/>
                    </a:prstGeom>
                  </pic:spPr>
                </pic:pic>
              </a:graphicData>
            </a:graphic>
          </wp:inline>
        </w:drawing>
      </w:r>
      <w:r w:rsidR="00222A71">
        <w:rPr>
          <w:noProof/>
        </w:rPr>
        <w:t xml:space="preserve"> </w:t>
      </w:r>
      <w:r w:rsidR="00222A71">
        <w:rPr>
          <w:noProof/>
          <w:lang w:eastAsia="ja-JP"/>
        </w:rPr>
        <w:t xml:space="preserve"> </w:t>
      </w:r>
      <w:r w:rsidR="00FF606A" w:rsidRPr="00FF606A">
        <w:rPr>
          <w:noProof/>
        </w:rPr>
        <w:t xml:space="preserve"> </w:t>
      </w:r>
      <w:r>
        <w:rPr>
          <w:noProof/>
        </w:rPr>
        <w:drawing>
          <wp:inline distT="0" distB="0" distL="0" distR="0" wp14:anchorId="5FC67508" wp14:editId="5B84A32C">
            <wp:extent cx="1431449" cy="2628660"/>
            <wp:effectExtent l="0" t="0" r="0" b="63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4"/>
                    <a:stretch>
                      <a:fillRect/>
                    </a:stretch>
                  </pic:blipFill>
                  <pic:spPr>
                    <a:xfrm>
                      <a:off x="0" y="0"/>
                      <a:ext cx="1431449" cy="2628660"/>
                    </a:xfrm>
                    <a:prstGeom prst="rect">
                      <a:avLst/>
                    </a:prstGeom>
                  </pic:spPr>
                </pic:pic>
              </a:graphicData>
            </a:graphic>
          </wp:inline>
        </w:drawing>
      </w:r>
    </w:p>
    <w:p w14:paraId="71EDECE8" w14:textId="77777777" w:rsidR="00222A71" w:rsidRDefault="00222A71" w:rsidP="0085386F"/>
    <w:p w14:paraId="21D5FF52" w14:textId="3A3C9B5C" w:rsidR="005B3A07" w:rsidRDefault="008866CF" w:rsidP="0085386F">
      <w:r>
        <w:t xml:space="preserve">Table </w:t>
      </w:r>
      <w:r w:rsidR="00FF606A">
        <w:t>1.</w:t>
      </w:r>
      <w:r>
        <w:t>5</w:t>
      </w:r>
      <w:r w:rsidR="00384961">
        <w:t xml:space="preserve"> and Figure </w:t>
      </w:r>
      <w:r w:rsidR="00FF606A">
        <w:t>1.</w:t>
      </w:r>
      <w:r w:rsidR="00384961">
        <w:t>5</w:t>
      </w:r>
      <w:r>
        <w:t xml:space="preserve"> display the top ten </w:t>
      </w:r>
      <w:r w:rsidR="00E86EC1">
        <w:t xml:space="preserve">counties by place of residency. </w:t>
      </w:r>
      <w:r w:rsidR="005B3A07">
        <w:t xml:space="preserve">Of the people who work in </w:t>
      </w:r>
      <w:r w:rsidR="006628FA">
        <w:t xml:space="preserve">the </w:t>
      </w:r>
      <w:r w:rsidR="006C38C7">
        <w:t>CCC</w:t>
      </w:r>
      <w:r w:rsidR="006628FA">
        <w:t xml:space="preserve"> </w:t>
      </w:r>
      <w:r w:rsidR="00B101E7">
        <w:t xml:space="preserve">Economic </w:t>
      </w:r>
      <w:r w:rsidR="00B101E7">
        <w:lastRenderedPageBreak/>
        <w:t>Region</w:t>
      </w:r>
      <w:r w:rsidR="005B3A07">
        <w:t xml:space="preserve">, </w:t>
      </w:r>
      <w:r w:rsidR="00E86EC1">
        <w:t>82.1</w:t>
      </w:r>
      <w:r w:rsidR="005B3A07">
        <w:t xml:space="preserve">% </w:t>
      </w:r>
      <w:r w:rsidR="00FF606A">
        <w:t xml:space="preserve">also </w:t>
      </w:r>
      <w:r w:rsidR="005B3A07">
        <w:t xml:space="preserve">live in </w:t>
      </w:r>
      <w:r w:rsidR="009F6E39">
        <w:t>the region</w:t>
      </w:r>
      <w:r w:rsidR="00B82647">
        <w:t>.</w:t>
      </w:r>
      <w:r w:rsidR="00E86EC1">
        <w:t xml:space="preserve"> Almost half of the residents in the region live in Fresno County (49.1%).</w:t>
      </w:r>
      <w:r w:rsidR="00B82647">
        <w:t xml:space="preserve"> </w:t>
      </w:r>
      <w:r w:rsidR="00E86EC1">
        <w:t>Los Angeles</w:t>
      </w:r>
      <w:r w:rsidR="00E74C45">
        <w:t xml:space="preserve"> County supplies the most commut</w:t>
      </w:r>
      <w:r w:rsidR="004D6C67">
        <w:t xml:space="preserve">ers from outside the area at </w:t>
      </w:r>
      <w:r w:rsidR="00E86EC1">
        <w:t>2.6</w:t>
      </w:r>
      <w:r w:rsidR="00E74C45">
        <w:t>%.</w:t>
      </w:r>
    </w:p>
    <w:tbl>
      <w:tblPr>
        <w:tblStyle w:val="MediumShading1-Accent1"/>
        <w:tblW w:w="4944" w:type="pct"/>
        <w:tblLayout w:type="fixed"/>
        <w:tblLook w:val="04A0" w:firstRow="1" w:lastRow="0" w:firstColumn="1" w:lastColumn="0" w:noHBand="0" w:noVBand="1"/>
      </w:tblPr>
      <w:tblGrid>
        <w:gridCol w:w="4427"/>
        <w:gridCol w:w="2521"/>
        <w:gridCol w:w="2521"/>
      </w:tblGrid>
      <w:tr w:rsidR="004F6A68" w:rsidRPr="00377B00" w14:paraId="25B5A8CD" w14:textId="77777777" w:rsidTr="00EB07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right w:val="nil"/>
            </w:tcBorders>
            <w:shd w:val="clear" w:color="auto" w:fill="auto"/>
            <w:noWrap/>
          </w:tcPr>
          <w:p w14:paraId="25E38D6F" w14:textId="14218C01" w:rsidR="004F6A68" w:rsidRPr="00244673" w:rsidRDefault="004F6A68" w:rsidP="00C56124">
            <w:pPr>
              <w:pStyle w:val="Tabletitle"/>
              <w:rPr>
                <w:rFonts w:asciiTheme="minorHAnsi" w:hAnsiTheme="minorHAnsi"/>
                <w:b/>
                <w:szCs w:val="18"/>
              </w:rPr>
            </w:pPr>
            <w:r w:rsidRPr="00244673">
              <w:rPr>
                <w:rFonts w:eastAsiaTheme="majorEastAsia"/>
                <w:b/>
              </w:rPr>
              <w:t xml:space="preserve">Table </w:t>
            </w:r>
            <w:r w:rsidR="00FF606A">
              <w:rPr>
                <w:rFonts w:eastAsiaTheme="majorEastAsia"/>
                <w:b/>
              </w:rPr>
              <w:t>1.</w:t>
            </w:r>
            <w:r w:rsidRPr="00244673">
              <w:rPr>
                <w:rFonts w:eastAsiaTheme="majorEastAsia"/>
                <w:b/>
              </w:rPr>
              <w:t xml:space="preserve">5: </w:t>
            </w:r>
            <w:r w:rsidR="00C56124">
              <w:rPr>
                <w:rFonts w:eastAsiaTheme="majorEastAsia"/>
                <w:b/>
              </w:rPr>
              <w:t>Jobs by place of Residence</w:t>
            </w:r>
          </w:p>
        </w:tc>
      </w:tr>
      <w:tr w:rsidR="004F6A68" w:rsidRPr="00377B00" w14:paraId="6A264C1A" w14:textId="77777777" w:rsidTr="00EB07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shd w:val="clear" w:color="auto" w:fill="4F81BD" w:themeFill="accent1"/>
            <w:noWrap/>
            <w:hideMark/>
          </w:tcPr>
          <w:p w14:paraId="45199345" w14:textId="77777777" w:rsidR="004F6A68" w:rsidRPr="00377B00" w:rsidRDefault="004F6A68" w:rsidP="00EB070D">
            <w:pPr>
              <w:pStyle w:val="Tableheaderleft"/>
            </w:pPr>
            <w:r>
              <w:t>County</w:t>
            </w:r>
          </w:p>
        </w:tc>
        <w:tc>
          <w:tcPr>
            <w:tcW w:w="1331" w:type="pct"/>
            <w:tcBorders>
              <w:left w:val="single" w:sz="8" w:space="0" w:color="7BA0CD" w:themeColor="accent1" w:themeTint="BF"/>
              <w:right w:val="single" w:sz="8" w:space="0" w:color="7BA0CD" w:themeColor="accent1" w:themeTint="BF"/>
            </w:tcBorders>
            <w:shd w:val="clear" w:color="auto" w:fill="4F81BD" w:themeFill="accent1"/>
            <w:noWrap/>
            <w:hideMark/>
          </w:tcPr>
          <w:p w14:paraId="01338CE5" w14:textId="77777777" w:rsidR="004F6A68" w:rsidRPr="00377B00" w:rsidRDefault="004F6A68" w:rsidP="00EB070D">
            <w:pPr>
              <w:pStyle w:val="Tableheadercenter"/>
              <w:cnfStyle w:val="000000100000" w:firstRow="0" w:lastRow="0" w:firstColumn="0" w:lastColumn="0" w:oddVBand="0" w:evenVBand="0" w:oddHBand="1" w:evenHBand="0" w:firstRowFirstColumn="0" w:firstRowLastColumn="0" w:lastRowFirstColumn="0" w:lastRowLastColumn="0"/>
            </w:pPr>
            <w:r w:rsidRPr="00377B00">
              <w:t>Count</w:t>
            </w:r>
          </w:p>
        </w:tc>
        <w:tc>
          <w:tcPr>
            <w:tcW w:w="1331" w:type="pct"/>
            <w:tcBorders>
              <w:left w:val="single" w:sz="8" w:space="0" w:color="7BA0CD" w:themeColor="accent1" w:themeTint="BF"/>
            </w:tcBorders>
            <w:shd w:val="clear" w:color="auto" w:fill="4F81BD" w:themeFill="accent1"/>
            <w:noWrap/>
            <w:hideMark/>
          </w:tcPr>
          <w:p w14:paraId="31B0E3F7" w14:textId="77777777" w:rsidR="004F6A68" w:rsidRPr="00377B00" w:rsidRDefault="004F6A68" w:rsidP="00EB070D">
            <w:pPr>
              <w:pStyle w:val="Tableheadercenter"/>
              <w:cnfStyle w:val="000000100000" w:firstRow="0" w:lastRow="0" w:firstColumn="0" w:lastColumn="0" w:oddVBand="0" w:evenVBand="0" w:oddHBand="1" w:evenHBand="0" w:firstRowFirstColumn="0" w:firstRowLastColumn="0" w:lastRowFirstColumn="0" w:lastRowLastColumn="0"/>
            </w:pPr>
            <w:r w:rsidRPr="00377B00">
              <w:t>Commute Share</w:t>
            </w:r>
          </w:p>
        </w:tc>
      </w:tr>
      <w:tr w:rsidR="00E86EC1" w:rsidRPr="00377B00" w14:paraId="454C5344" w14:textId="77777777" w:rsidTr="00BC7B5F">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5A4270D3" w14:textId="7AE31713" w:rsidR="00E86EC1" w:rsidRPr="00A07E93" w:rsidRDefault="00E86EC1" w:rsidP="00C72F7F">
            <w:pPr>
              <w:pStyle w:val="Tablenormalleft"/>
              <w:jc w:val="left"/>
              <w:rPr>
                <w:color w:val="000000"/>
              </w:rPr>
            </w:pPr>
            <w:r w:rsidRPr="002E3559">
              <w:t>Fresno County</w:t>
            </w:r>
          </w:p>
        </w:tc>
        <w:tc>
          <w:tcPr>
            <w:tcW w:w="1331" w:type="pct"/>
            <w:tcBorders>
              <w:left w:val="single" w:sz="8" w:space="0" w:color="7BA0CD" w:themeColor="accent1" w:themeTint="BF"/>
              <w:right w:val="single" w:sz="8" w:space="0" w:color="7BA0CD" w:themeColor="accent1" w:themeTint="BF"/>
            </w:tcBorders>
            <w:hideMark/>
          </w:tcPr>
          <w:p w14:paraId="41EF3C0C" w14:textId="176200C8"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244,487</w:t>
            </w:r>
          </w:p>
        </w:tc>
        <w:tc>
          <w:tcPr>
            <w:tcW w:w="1331" w:type="pct"/>
            <w:tcBorders>
              <w:left w:val="single" w:sz="8" w:space="0" w:color="7BA0CD" w:themeColor="accent1" w:themeTint="BF"/>
            </w:tcBorders>
            <w:hideMark/>
          </w:tcPr>
          <w:p w14:paraId="11DF79B2" w14:textId="0814831C"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49.1%</w:t>
            </w:r>
          </w:p>
        </w:tc>
      </w:tr>
      <w:tr w:rsidR="00E86EC1" w:rsidRPr="00377B00" w14:paraId="5AB244DD" w14:textId="77777777" w:rsidTr="00BC7B5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1C233AFC" w14:textId="2C01BF03" w:rsidR="00E86EC1" w:rsidRPr="00A07E93" w:rsidRDefault="00E86EC1" w:rsidP="00C72F7F">
            <w:pPr>
              <w:pStyle w:val="Tablenormalleft"/>
              <w:jc w:val="left"/>
              <w:rPr>
                <w:color w:val="000000"/>
              </w:rPr>
            </w:pPr>
            <w:r w:rsidRPr="002E3559">
              <w:t>Tulare County</w:t>
            </w:r>
          </w:p>
        </w:tc>
        <w:tc>
          <w:tcPr>
            <w:tcW w:w="1331" w:type="pct"/>
            <w:tcBorders>
              <w:left w:val="single" w:sz="8" w:space="0" w:color="7BA0CD" w:themeColor="accent1" w:themeTint="BF"/>
              <w:right w:val="single" w:sz="8" w:space="0" w:color="7BA0CD" w:themeColor="accent1" w:themeTint="BF"/>
            </w:tcBorders>
            <w:hideMark/>
          </w:tcPr>
          <w:p w14:paraId="0E9AA2E0" w14:textId="3FCED938"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102,305</w:t>
            </w:r>
          </w:p>
        </w:tc>
        <w:tc>
          <w:tcPr>
            <w:tcW w:w="1331" w:type="pct"/>
            <w:tcBorders>
              <w:left w:val="single" w:sz="8" w:space="0" w:color="7BA0CD" w:themeColor="accent1" w:themeTint="BF"/>
            </w:tcBorders>
            <w:hideMark/>
          </w:tcPr>
          <w:p w14:paraId="5D67303C" w14:textId="51B92B6F"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20.6%</w:t>
            </w:r>
          </w:p>
        </w:tc>
      </w:tr>
      <w:tr w:rsidR="00E86EC1" w:rsidRPr="00377B00" w14:paraId="7F543F1E" w14:textId="77777777" w:rsidTr="00BC7B5F">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0408AEAD" w14:textId="482239A3" w:rsidR="00E86EC1" w:rsidRPr="00A07E93" w:rsidRDefault="00E86EC1" w:rsidP="00C72F7F">
            <w:pPr>
              <w:pStyle w:val="Tablenormalleft"/>
              <w:jc w:val="left"/>
              <w:rPr>
                <w:color w:val="000000"/>
              </w:rPr>
            </w:pPr>
            <w:r w:rsidRPr="002E3559">
              <w:t>Madera County</w:t>
            </w:r>
          </w:p>
        </w:tc>
        <w:tc>
          <w:tcPr>
            <w:tcW w:w="1331" w:type="pct"/>
            <w:tcBorders>
              <w:left w:val="single" w:sz="8" w:space="0" w:color="7BA0CD" w:themeColor="accent1" w:themeTint="BF"/>
              <w:right w:val="single" w:sz="8" w:space="0" w:color="7BA0CD" w:themeColor="accent1" w:themeTint="BF"/>
            </w:tcBorders>
            <w:hideMark/>
          </w:tcPr>
          <w:p w14:paraId="5C21D4E6" w14:textId="703F5DED"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31,303</w:t>
            </w:r>
          </w:p>
        </w:tc>
        <w:tc>
          <w:tcPr>
            <w:tcW w:w="1331" w:type="pct"/>
            <w:tcBorders>
              <w:left w:val="single" w:sz="8" w:space="0" w:color="7BA0CD" w:themeColor="accent1" w:themeTint="BF"/>
            </w:tcBorders>
            <w:hideMark/>
          </w:tcPr>
          <w:p w14:paraId="18F16249" w14:textId="78103EE0"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6.3%</w:t>
            </w:r>
          </w:p>
        </w:tc>
      </w:tr>
      <w:tr w:rsidR="00E86EC1" w:rsidRPr="00377B00" w14:paraId="721F8D4E" w14:textId="77777777" w:rsidTr="00BC7B5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5E064F5E" w14:textId="6A312DE4" w:rsidR="00E86EC1" w:rsidRPr="00A07E93" w:rsidRDefault="00E86EC1" w:rsidP="00C72F7F">
            <w:pPr>
              <w:pStyle w:val="Tablenormalleft"/>
              <w:jc w:val="left"/>
              <w:rPr>
                <w:color w:val="000000"/>
              </w:rPr>
            </w:pPr>
            <w:r w:rsidRPr="002E3559">
              <w:t>Kings County</w:t>
            </w:r>
          </w:p>
        </w:tc>
        <w:tc>
          <w:tcPr>
            <w:tcW w:w="1331" w:type="pct"/>
            <w:tcBorders>
              <w:left w:val="single" w:sz="8" w:space="0" w:color="7BA0CD" w:themeColor="accent1" w:themeTint="BF"/>
              <w:right w:val="single" w:sz="8" w:space="0" w:color="7BA0CD" w:themeColor="accent1" w:themeTint="BF"/>
            </w:tcBorders>
            <w:hideMark/>
          </w:tcPr>
          <w:p w14:paraId="331FB186" w14:textId="3AECB529"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30,492</w:t>
            </w:r>
          </w:p>
        </w:tc>
        <w:tc>
          <w:tcPr>
            <w:tcW w:w="1331" w:type="pct"/>
            <w:tcBorders>
              <w:left w:val="single" w:sz="8" w:space="0" w:color="7BA0CD" w:themeColor="accent1" w:themeTint="BF"/>
            </w:tcBorders>
            <w:hideMark/>
          </w:tcPr>
          <w:p w14:paraId="61EA3C7E" w14:textId="51B1B2D1"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6.1%</w:t>
            </w:r>
          </w:p>
        </w:tc>
      </w:tr>
      <w:tr w:rsidR="00E86EC1" w:rsidRPr="00377B00" w14:paraId="6D8220EA" w14:textId="77777777" w:rsidTr="00BC7B5F">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3F7CD9E1" w14:textId="2A729E4B" w:rsidR="00E86EC1" w:rsidRPr="00A07E93" w:rsidRDefault="00E86EC1" w:rsidP="00C72F7F">
            <w:pPr>
              <w:pStyle w:val="Tablenormalleft"/>
              <w:jc w:val="left"/>
              <w:rPr>
                <w:color w:val="000000"/>
              </w:rPr>
            </w:pPr>
            <w:r w:rsidRPr="002E3559">
              <w:t>Los Angeles County</w:t>
            </w:r>
          </w:p>
        </w:tc>
        <w:tc>
          <w:tcPr>
            <w:tcW w:w="1331" w:type="pct"/>
            <w:tcBorders>
              <w:left w:val="single" w:sz="8" w:space="0" w:color="7BA0CD" w:themeColor="accent1" w:themeTint="BF"/>
              <w:right w:val="single" w:sz="8" w:space="0" w:color="7BA0CD" w:themeColor="accent1" w:themeTint="BF"/>
            </w:tcBorders>
            <w:hideMark/>
          </w:tcPr>
          <w:p w14:paraId="33BF5FD6" w14:textId="56D974F6"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12,963</w:t>
            </w:r>
          </w:p>
        </w:tc>
        <w:tc>
          <w:tcPr>
            <w:tcW w:w="1331" w:type="pct"/>
            <w:tcBorders>
              <w:left w:val="single" w:sz="8" w:space="0" w:color="7BA0CD" w:themeColor="accent1" w:themeTint="BF"/>
            </w:tcBorders>
            <w:hideMark/>
          </w:tcPr>
          <w:p w14:paraId="4FCC5913" w14:textId="273DB471"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2.6%</w:t>
            </w:r>
          </w:p>
        </w:tc>
      </w:tr>
      <w:tr w:rsidR="00E86EC1" w:rsidRPr="00377B00" w14:paraId="3274BECC" w14:textId="77777777" w:rsidTr="00BC7B5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3435AA3E" w14:textId="072159DF" w:rsidR="00E86EC1" w:rsidRPr="00A07E93" w:rsidRDefault="00E86EC1" w:rsidP="00C72F7F">
            <w:pPr>
              <w:pStyle w:val="Tablenormalleft"/>
              <w:jc w:val="left"/>
              <w:rPr>
                <w:color w:val="000000"/>
              </w:rPr>
            </w:pPr>
            <w:r w:rsidRPr="002E3559">
              <w:t>Kern County</w:t>
            </w:r>
          </w:p>
        </w:tc>
        <w:tc>
          <w:tcPr>
            <w:tcW w:w="1331" w:type="pct"/>
            <w:tcBorders>
              <w:left w:val="single" w:sz="8" w:space="0" w:color="7BA0CD" w:themeColor="accent1" w:themeTint="BF"/>
              <w:right w:val="single" w:sz="8" w:space="0" w:color="7BA0CD" w:themeColor="accent1" w:themeTint="BF"/>
            </w:tcBorders>
            <w:hideMark/>
          </w:tcPr>
          <w:p w14:paraId="09D0E252" w14:textId="708367BD"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12,171</w:t>
            </w:r>
          </w:p>
        </w:tc>
        <w:tc>
          <w:tcPr>
            <w:tcW w:w="1331" w:type="pct"/>
            <w:tcBorders>
              <w:left w:val="single" w:sz="8" w:space="0" w:color="7BA0CD" w:themeColor="accent1" w:themeTint="BF"/>
            </w:tcBorders>
            <w:hideMark/>
          </w:tcPr>
          <w:p w14:paraId="2D871671" w14:textId="4AA5864C"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2.4%</w:t>
            </w:r>
          </w:p>
        </w:tc>
      </w:tr>
      <w:tr w:rsidR="00E86EC1" w:rsidRPr="00377B00" w14:paraId="30558EFD" w14:textId="77777777" w:rsidTr="00BC7B5F">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43C87878" w14:textId="50B9D3ED" w:rsidR="00E86EC1" w:rsidRPr="00A07E93" w:rsidRDefault="00E86EC1" w:rsidP="00C72F7F">
            <w:pPr>
              <w:pStyle w:val="Tablenormalleft"/>
              <w:jc w:val="left"/>
              <w:rPr>
                <w:color w:val="000000"/>
              </w:rPr>
            </w:pPr>
            <w:r w:rsidRPr="002E3559">
              <w:t>Me</w:t>
            </w:r>
            <w:r w:rsidR="006C38C7">
              <w:t>rc</w:t>
            </w:r>
            <w:r w:rsidRPr="002E3559">
              <w:t>ed County</w:t>
            </w:r>
          </w:p>
        </w:tc>
        <w:tc>
          <w:tcPr>
            <w:tcW w:w="1331" w:type="pct"/>
            <w:tcBorders>
              <w:left w:val="single" w:sz="8" w:space="0" w:color="7BA0CD" w:themeColor="accent1" w:themeTint="BF"/>
              <w:right w:val="single" w:sz="8" w:space="0" w:color="7BA0CD" w:themeColor="accent1" w:themeTint="BF"/>
            </w:tcBorders>
            <w:hideMark/>
          </w:tcPr>
          <w:p w14:paraId="7CC25DB2" w14:textId="1C50B4EC"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6,290</w:t>
            </w:r>
          </w:p>
        </w:tc>
        <w:tc>
          <w:tcPr>
            <w:tcW w:w="1331" w:type="pct"/>
            <w:tcBorders>
              <w:left w:val="single" w:sz="8" w:space="0" w:color="7BA0CD" w:themeColor="accent1" w:themeTint="BF"/>
            </w:tcBorders>
            <w:hideMark/>
          </w:tcPr>
          <w:p w14:paraId="47916828" w14:textId="3CFE8B83"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1.3%</w:t>
            </w:r>
          </w:p>
        </w:tc>
      </w:tr>
      <w:tr w:rsidR="00E86EC1" w:rsidRPr="00377B00" w14:paraId="2B5F47A7" w14:textId="77777777" w:rsidTr="00BC7B5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5D5B4C30" w14:textId="4A5345EA" w:rsidR="00E86EC1" w:rsidRPr="00A07E93" w:rsidRDefault="00E86EC1" w:rsidP="00C72F7F">
            <w:pPr>
              <w:pStyle w:val="Tablenormalleft"/>
              <w:jc w:val="left"/>
              <w:rPr>
                <w:color w:val="000000"/>
              </w:rPr>
            </w:pPr>
            <w:r w:rsidRPr="002E3559">
              <w:t>Santa Clara County</w:t>
            </w:r>
          </w:p>
        </w:tc>
        <w:tc>
          <w:tcPr>
            <w:tcW w:w="1331" w:type="pct"/>
            <w:tcBorders>
              <w:left w:val="single" w:sz="8" w:space="0" w:color="7BA0CD" w:themeColor="accent1" w:themeTint="BF"/>
              <w:right w:val="single" w:sz="8" w:space="0" w:color="7BA0CD" w:themeColor="accent1" w:themeTint="BF"/>
            </w:tcBorders>
            <w:hideMark/>
          </w:tcPr>
          <w:p w14:paraId="1286A3D5" w14:textId="676753BA"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4,497</w:t>
            </w:r>
          </w:p>
        </w:tc>
        <w:tc>
          <w:tcPr>
            <w:tcW w:w="1331" w:type="pct"/>
            <w:tcBorders>
              <w:left w:val="single" w:sz="8" w:space="0" w:color="7BA0CD" w:themeColor="accent1" w:themeTint="BF"/>
            </w:tcBorders>
            <w:hideMark/>
          </w:tcPr>
          <w:p w14:paraId="5247E66A" w14:textId="6E653888"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0.9%</w:t>
            </w:r>
          </w:p>
        </w:tc>
      </w:tr>
      <w:tr w:rsidR="00E86EC1" w:rsidRPr="00377B00" w14:paraId="410B929D" w14:textId="77777777" w:rsidTr="00BC7B5F">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014C8EAA" w14:textId="18EED032" w:rsidR="00E86EC1" w:rsidRPr="00A07E93" w:rsidRDefault="00E86EC1" w:rsidP="00C72F7F">
            <w:pPr>
              <w:pStyle w:val="Tablenormalleft"/>
              <w:jc w:val="left"/>
              <w:rPr>
                <w:color w:val="000000"/>
              </w:rPr>
            </w:pPr>
            <w:r w:rsidRPr="002E3559">
              <w:t>Stanislaus County</w:t>
            </w:r>
          </w:p>
        </w:tc>
        <w:tc>
          <w:tcPr>
            <w:tcW w:w="1331" w:type="pct"/>
            <w:tcBorders>
              <w:left w:val="single" w:sz="8" w:space="0" w:color="7BA0CD" w:themeColor="accent1" w:themeTint="BF"/>
              <w:right w:val="single" w:sz="8" w:space="0" w:color="7BA0CD" w:themeColor="accent1" w:themeTint="BF"/>
            </w:tcBorders>
            <w:hideMark/>
          </w:tcPr>
          <w:p w14:paraId="7109BDB0" w14:textId="07227C1A"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4,411</w:t>
            </w:r>
          </w:p>
        </w:tc>
        <w:tc>
          <w:tcPr>
            <w:tcW w:w="1331" w:type="pct"/>
            <w:tcBorders>
              <w:left w:val="single" w:sz="8" w:space="0" w:color="7BA0CD" w:themeColor="accent1" w:themeTint="BF"/>
            </w:tcBorders>
            <w:hideMark/>
          </w:tcPr>
          <w:p w14:paraId="1DBEF00B" w14:textId="7C1E8F9E"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0.9%</w:t>
            </w:r>
          </w:p>
        </w:tc>
      </w:tr>
      <w:tr w:rsidR="00E86EC1" w:rsidRPr="00377B00" w14:paraId="4B58BC5F" w14:textId="77777777" w:rsidTr="00BC7B5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right w:val="single" w:sz="8" w:space="0" w:color="7BA0CD" w:themeColor="accent1" w:themeTint="BF"/>
            </w:tcBorders>
            <w:noWrap/>
            <w:hideMark/>
          </w:tcPr>
          <w:p w14:paraId="740468D9" w14:textId="1B23C33C" w:rsidR="00E86EC1" w:rsidRPr="00A07E93" w:rsidRDefault="00E86EC1" w:rsidP="00C72F7F">
            <w:pPr>
              <w:pStyle w:val="Tablenormalleft"/>
              <w:jc w:val="left"/>
              <w:rPr>
                <w:color w:val="000000"/>
              </w:rPr>
            </w:pPr>
            <w:r w:rsidRPr="002E3559">
              <w:t>Sacramento County</w:t>
            </w:r>
          </w:p>
        </w:tc>
        <w:tc>
          <w:tcPr>
            <w:tcW w:w="1331" w:type="pct"/>
            <w:tcBorders>
              <w:left w:val="single" w:sz="8" w:space="0" w:color="7BA0CD" w:themeColor="accent1" w:themeTint="BF"/>
              <w:right w:val="single" w:sz="8" w:space="0" w:color="7BA0CD" w:themeColor="accent1" w:themeTint="BF"/>
            </w:tcBorders>
            <w:hideMark/>
          </w:tcPr>
          <w:p w14:paraId="68374889" w14:textId="60AAF02C"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4,158</w:t>
            </w:r>
          </w:p>
        </w:tc>
        <w:tc>
          <w:tcPr>
            <w:tcW w:w="1331" w:type="pct"/>
            <w:tcBorders>
              <w:left w:val="single" w:sz="8" w:space="0" w:color="7BA0CD" w:themeColor="accent1" w:themeTint="BF"/>
            </w:tcBorders>
            <w:hideMark/>
          </w:tcPr>
          <w:p w14:paraId="2BE6ABC7" w14:textId="012BE201" w:rsidR="00E86EC1" w:rsidRPr="008A43E5" w:rsidRDefault="00E86EC1" w:rsidP="00652C55">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2E3559">
              <w:t>0.8%</w:t>
            </w:r>
          </w:p>
        </w:tc>
      </w:tr>
      <w:tr w:rsidR="00E86EC1" w:rsidRPr="00377B00" w14:paraId="690717C3" w14:textId="77777777" w:rsidTr="00BC7B5F">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338" w:type="pct"/>
            <w:tcBorders>
              <w:bottom w:val="single" w:sz="8" w:space="0" w:color="7BA0CD" w:themeColor="accent1" w:themeTint="BF"/>
              <w:right w:val="single" w:sz="8" w:space="0" w:color="7BA0CD" w:themeColor="accent1" w:themeTint="BF"/>
            </w:tcBorders>
            <w:hideMark/>
          </w:tcPr>
          <w:p w14:paraId="263F6281" w14:textId="465F30A6" w:rsidR="00E86EC1" w:rsidRPr="00A07E93" w:rsidRDefault="00E86EC1" w:rsidP="00C72F7F">
            <w:pPr>
              <w:pStyle w:val="Tablenormalleft"/>
              <w:jc w:val="left"/>
              <w:rPr>
                <w:color w:val="000000"/>
              </w:rPr>
            </w:pPr>
            <w:r w:rsidRPr="002E3559">
              <w:t>All Other Locations</w:t>
            </w:r>
          </w:p>
        </w:tc>
        <w:tc>
          <w:tcPr>
            <w:tcW w:w="1331" w:type="pct"/>
            <w:tcBorders>
              <w:left w:val="single" w:sz="8" w:space="0" w:color="7BA0CD" w:themeColor="accent1" w:themeTint="BF"/>
              <w:bottom w:val="single" w:sz="8" w:space="0" w:color="7BA0CD" w:themeColor="accent1" w:themeTint="BF"/>
              <w:right w:val="single" w:sz="8" w:space="0" w:color="7BA0CD" w:themeColor="accent1" w:themeTint="BF"/>
            </w:tcBorders>
            <w:hideMark/>
          </w:tcPr>
          <w:p w14:paraId="68B2A81B" w14:textId="69998330"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44,746</w:t>
            </w:r>
          </w:p>
        </w:tc>
        <w:tc>
          <w:tcPr>
            <w:tcW w:w="1331" w:type="pct"/>
            <w:tcBorders>
              <w:left w:val="single" w:sz="8" w:space="0" w:color="7BA0CD" w:themeColor="accent1" w:themeTint="BF"/>
              <w:bottom w:val="single" w:sz="8" w:space="0" w:color="7BA0CD" w:themeColor="accent1" w:themeTint="BF"/>
            </w:tcBorders>
            <w:hideMark/>
          </w:tcPr>
          <w:p w14:paraId="28E80B52" w14:textId="68122606" w:rsidR="00E86EC1" w:rsidRPr="008A43E5" w:rsidRDefault="00E86EC1" w:rsidP="00652C55">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2E3559">
              <w:t>9.0%</w:t>
            </w:r>
          </w:p>
        </w:tc>
      </w:tr>
      <w:tr w:rsidR="004F6A68" w:rsidRPr="002408B0" w14:paraId="399C5EA3" w14:textId="77777777" w:rsidTr="00EB070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38" w:type="pct"/>
            <w:tcBorders>
              <w:left w:val="nil"/>
              <w:bottom w:val="nil"/>
            </w:tcBorders>
            <w:shd w:val="clear" w:color="auto" w:fill="auto"/>
            <w:noWrap/>
          </w:tcPr>
          <w:p w14:paraId="50277EE9" w14:textId="7AB45771" w:rsidR="004F6A68" w:rsidRPr="00A07E93" w:rsidRDefault="004F6A68" w:rsidP="00EB070D">
            <w:pPr>
              <w:pStyle w:val="Tablefooterlastline"/>
              <w:rPr>
                <w:bCs w:val="0"/>
              </w:rPr>
            </w:pPr>
            <w:r w:rsidRPr="00A07E93">
              <w:t>Sou</w:t>
            </w:r>
            <w:r w:rsidR="006C38C7">
              <w:t>rc</w:t>
            </w:r>
            <w:r w:rsidRPr="00A07E93">
              <w:t>e: Census LEHD</w:t>
            </w:r>
          </w:p>
        </w:tc>
        <w:tc>
          <w:tcPr>
            <w:tcW w:w="1331" w:type="pct"/>
            <w:tcBorders>
              <w:bottom w:val="nil"/>
            </w:tcBorders>
            <w:shd w:val="clear" w:color="auto" w:fill="auto"/>
          </w:tcPr>
          <w:p w14:paraId="163CA024" w14:textId="77777777" w:rsidR="004F6A68" w:rsidRPr="00A07E93" w:rsidRDefault="004F6A68" w:rsidP="00EB070D">
            <w:pPr>
              <w:pStyle w:val="Tablefooterlastline"/>
              <w:cnfStyle w:val="000000100000" w:firstRow="0" w:lastRow="0" w:firstColumn="0" w:lastColumn="0" w:oddVBand="0" w:evenVBand="0" w:oddHBand="1" w:evenHBand="0" w:firstRowFirstColumn="0" w:firstRowLastColumn="0" w:lastRowFirstColumn="0" w:lastRowLastColumn="0"/>
              <w:rPr>
                <w:bCs/>
              </w:rPr>
            </w:pPr>
          </w:p>
        </w:tc>
        <w:tc>
          <w:tcPr>
            <w:tcW w:w="1331" w:type="pct"/>
            <w:tcBorders>
              <w:bottom w:val="nil"/>
              <w:right w:val="nil"/>
            </w:tcBorders>
            <w:shd w:val="clear" w:color="auto" w:fill="auto"/>
          </w:tcPr>
          <w:p w14:paraId="2ED84358" w14:textId="77777777" w:rsidR="004F6A68" w:rsidRPr="00A07E93" w:rsidRDefault="004F6A68" w:rsidP="00EB070D">
            <w:pPr>
              <w:pStyle w:val="Tablefooterlastline"/>
              <w:cnfStyle w:val="000000100000" w:firstRow="0" w:lastRow="0" w:firstColumn="0" w:lastColumn="0" w:oddVBand="0" w:evenVBand="0" w:oddHBand="1" w:evenHBand="0" w:firstRowFirstColumn="0" w:firstRowLastColumn="0" w:lastRowFirstColumn="0" w:lastRowLastColumn="0"/>
            </w:pPr>
          </w:p>
        </w:tc>
      </w:tr>
    </w:tbl>
    <w:p w14:paraId="04491BD3" w14:textId="62DBC8A6" w:rsidR="00BD0C91" w:rsidRPr="00DD52D4" w:rsidRDefault="00BD0C91" w:rsidP="004A4F48">
      <w:pPr>
        <w:pStyle w:val="FigureTitle"/>
        <w:rPr>
          <w:highlight w:val="yellow"/>
        </w:rPr>
      </w:pPr>
      <w:r w:rsidRPr="007626C5">
        <w:t xml:space="preserve">Figure </w:t>
      </w:r>
      <w:r w:rsidR="00FF606A">
        <w:t>1.</w:t>
      </w:r>
      <w:r w:rsidR="000064DC">
        <w:t>5</w:t>
      </w:r>
      <w:r w:rsidRPr="007626C5">
        <w:t xml:space="preserve">: </w:t>
      </w:r>
      <w:r w:rsidR="00D04680">
        <w:t>Jobs by Place of Resid</w:t>
      </w:r>
      <w:r w:rsidR="00C56124">
        <w:t>ence</w:t>
      </w:r>
    </w:p>
    <w:p w14:paraId="28F1E7FC" w14:textId="252913CF" w:rsidR="004F6A68" w:rsidRPr="00597F1F" w:rsidRDefault="00E86EC1" w:rsidP="004F6A68">
      <w:pPr>
        <w:rPr>
          <w:rFonts w:eastAsiaTheme="majorEastAsia"/>
          <w:highlight w:val="yellow"/>
        </w:rPr>
      </w:pPr>
      <w:r>
        <w:rPr>
          <w:noProof/>
        </w:rPr>
        <w:lastRenderedPageBreak/>
        <w:drawing>
          <wp:inline distT="0" distB="0" distL="0" distR="0" wp14:anchorId="38D610CD" wp14:editId="68CE24BE">
            <wp:extent cx="3762525" cy="5105400"/>
            <wp:effectExtent l="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5"/>
                    <a:stretch>
                      <a:fillRect/>
                    </a:stretch>
                  </pic:blipFill>
                  <pic:spPr>
                    <a:xfrm>
                      <a:off x="0" y="0"/>
                      <a:ext cx="3765305" cy="5109172"/>
                    </a:xfrm>
                    <a:prstGeom prst="rect">
                      <a:avLst/>
                    </a:prstGeom>
                  </pic:spPr>
                </pic:pic>
              </a:graphicData>
            </a:graphic>
          </wp:inline>
        </w:drawing>
      </w:r>
      <w:r w:rsidR="00222A71">
        <w:rPr>
          <w:noProof/>
          <w:lang w:eastAsia="ja-JP"/>
        </w:rPr>
        <w:t xml:space="preserve"> </w:t>
      </w:r>
      <w:r w:rsidR="00222A71">
        <w:rPr>
          <w:noProof/>
        </w:rPr>
        <w:t xml:space="preserve"> </w:t>
      </w:r>
      <w:r>
        <w:rPr>
          <w:noProof/>
        </w:rPr>
        <w:drawing>
          <wp:inline distT="0" distB="0" distL="0" distR="0" wp14:anchorId="0BDDDB3B" wp14:editId="593019C2">
            <wp:extent cx="1447102" cy="2704862"/>
            <wp:effectExtent l="0" t="0" r="1270" b="63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6"/>
                    <a:stretch>
                      <a:fillRect/>
                    </a:stretch>
                  </pic:blipFill>
                  <pic:spPr>
                    <a:xfrm>
                      <a:off x="0" y="0"/>
                      <a:ext cx="1447102" cy="2704862"/>
                    </a:xfrm>
                    <a:prstGeom prst="rect">
                      <a:avLst/>
                    </a:prstGeom>
                  </pic:spPr>
                </pic:pic>
              </a:graphicData>
            </a:graphic>
          </wp:inline>
        </w:drawing>
      </w:r>
    </w:p>
    <w:p w14:paraId="5F54FD7A" w14:textId="5D92DCFA" w:rsidR="00652C55" w:rsidRPr="00BC7B5F" w:rsidRDefault="00597F1F">
      <w:pPr>
        <w:spacing w:before="0" w:after="200" w:line="276" w:lineRule="auto"/>
        <w:jc w:val="left"/>
      </w:pPr>
      <w:r w:rsidRPr="00597F1F">
        <w:t xml:space="preserve">Figure 1.6 presents the inflow and outflow of jobs to and from the </w:t>
      </w:r>
      <w:r w:rsidR="006C38C7">
        <w:t>CCC</w:t>
      </w:r>
      <w:r>
        <w:t xml:space="preserve"> </w:t>
      </w:r>
      <w:r w:rsidR="00B101E7">
        <w:t>Economic Region</w:t>
      </w:r>
      <w:r w:rsidRPr="00597F1F">
        <w:t xml:space="preserve">. There are </w:t>
      </w:r>
      <w:r w:rsidR="00E61E27">
        <w:t>497,823</w:t>
      </w:r>
      <w:r w:rsidRPr="00597F1F">
        <w:t xml:space="preserve"> jobs in the region with </w:t>
      </w:r>
      <w:r w:rsidR="00E61E27">
        <w:t>408,587</w:t>
      </w:r>
      <w:r w:rsidRPr="00597F1F">
        <w:t xml:space="preserve"> of these jobs filled by residents and </w:t>
      </w:r>
      <w:r w:rsidR="00E61E27">
        <w:t>89,236</w:t>
      </w:r>
      <w:r w:rsidRPr="00597F1F">
        <w:t xml:space="preserve"> jobs going to people living outside the region. Additionally, </w:t>
      </w:r>
      <w:r w:rsidR="00E61E27">
        <w:t>108,000</w:t>
      </w:r>
      <w:r>
        <w:t xml:space="preserve"> </w:t>
      </w:r>
      <w:r w:rsidRPr="00597F1F">
        <w:t xml:space="preserve">residents commute outside the region for </w:t>
      </w:r>
      <w:r w:rsidRPr="00597F1F">
        <w:lastRenderedPageBreak/>
        <w:t xml:space="preserve">work. The figure clearly illustrates the fact that more workers </w:t>
      </w:r>
      <w:r w:rsidR="00E61E27">
        <w:t>out</w:t>
      </w:r>
      <w:r w:rsidR="004F3AC4">
        <w:t xml:space="preserve">-commute than </w:t>
      </w:r>
      <w:r w:rsidR="00E61E27">
        <w:t>in</w:t>
      </w:r>
      <w:r w:rsidRPr="00597F1F">
        <w:t>-commute.</w:t>
      </w:r>
    </w:p>
    <w:p w14:paraId="50AFD38D" w14:textId="17FCFBCF" w:rsidR="00886DCB" w:rsidRPr="00886DCB" w:rsidRDefault="00886DCB" w:rsidP="00597F1F">
      <w:pPr>
        <w:spacing w:before="0" w:after="200" w:line="276" w:lineRule="auto"/>
        <w:jc w:val="left"/>
        <w:rPr>
          <w:rFonts w:ascii="Arial" w:hAnsi="Arial" w:cs="Arial"/>
          <w:b/>
          <w:sz w:val="22"/>
        </w:rPr>
      </w:pPr>
      <w:r>
        <w:rPr>
          <w:rFonts w:ascii="Arial" w:hAnsi="Arial" w:cs="Arial"/>
          <w:b/>
          <w:sz w:val="22"/>
        </w:rPr>
        <w:t>Figure 1.6</w:t>
      </w:r>
      <w:r w:rsidR="009C0059">
        <w:rPr>
          <w:rFonts w:ascii="Arial" w:hAnsi="Arial" w:cs="Arial"/>
          <w:b/>
          <w:sz w:val="22"/>
        </w:rPr>
        <w:t xml:space="preserve"> In-flow/Out-flow Job Count</w:t>
      </w:r>
    </w:p>
    <w:p w14:paraId="71557BED" w14:textId="63010DFA" w:rsidR="00F7617A" w:rsidRDefault="00E86EC1">
      <w:pPr>
        <w:spacing w:before="0" w:after="200" w:line="276" w:lineRule="auto"/>
        <w:jc w:val="left"/>
      </w:pPr>
      <w:r>
        <w:rPr>
          <w:noProof/>
        </w:rPr>
        <w:drawing>
          <wp:inline distT="0" distB="0" distL="0" distR="0" wp14:anchorId="3A820A09" wp14:editId="753646CC">
            <wp:extent cx="3781425" cy="3460172"/>
            <wp:effectExtent l="0" t="0" r="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7"/>
                    <a:stretch>
                      <a:fillRect/>
                    </a:stretch>
                  </pic:blipFill>
                  <pic:spPr>
                    <a:xfrm>
                      <a:off x="0" y="0"/>
                      <a:ext cx="3790658" cy="3468620"/>
                    </a:xfrm>
                    <a:prstGeom prst="rect">
                      <a:avLst/>
                    </a:prstGeom>
                  </pic:spPr>
                </pic:pic>
              </a:graphicData>
            </a:graphic>
          </wp:inline>
        </w:drawing>
      </w:r>
    </w:p>
    <w:p w14:paraId="77B83504" w14:textId="47F58E6C" w:rsidR="009F6E39" w:rsidRPr="00BC7B5F" w:rsidRDefault="00E86EC1">
      <w:pPr>
        <w:spacing w:before="0" w:after="200" w:line="276" w:lineRule="auto"/>
        <w:jc w:val="left"/>
        <w:rPr>
          <w:rFonts w:ascii="Arial" w:hAnsi="Arial" w:cs="Arial"/>
          <w:bCs/>
          <w:iCs/>
          <w:sz w:val="30"/>
          <w:szCs w:val="30"/>
        </w:rPr>
      </w:pPr>
      <w:r>
        <w:rPr>
          <w:noProof/>
        </w:rPr>
        <w:drawing>
          <wp:inline distT="0" distB="0" distL="0" distR="0" wp14:anchorId="3265B2A1" wp14:editId="3175AE02">
            <wp:extent cx="3532260" cy="466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32260" cy="466725"/>
                    </a:xfrm>
                    <a:prstGeom prst="rect">
                      <a:avLst/>
                    </a:prstGeom>
                  </pic:spPr>
                </pic:pic>
              </a:graphicData>
            </a:graphic>
          </wp:inline>
        </w:drawing>
      </w:r>
    </w:p>
    <w:p w14:paraId="65278AA9" w14:textId="6A066F41" w:rsidR="00FB552A" w:rsidRDefault="00FB552A" w:rsidP="00384961">
      <w:pPr>
        <w:pStyle w:val="Heading2"/>
        <w:keepNext w:val="0"/>
        <w:rPr>
          <w:rFonts w:asciiTheme="minorHAnsi" w:hAnsiTheme="minorHAnsi" w:cstheme="minorHAnsi"/>
          <w:sz w:val="22"/>
          <w:szCs w:val="22"/>
        </w:rPr>
      </w:pPr>
      <w:bookmarkStart w:id="12" w:name="_Toc428785409"/>
      <w:r w:rsidRPr="00A4349F">
        <w:t>Unemployment</w:t>
      </w:r>
      <w:bookmarkEnd w:id="12"/>
    </w:p>
    <w:p w14:paraId="38FF73CD" w14:textId="63B90C8E" w:rsidR="00CA6171" w:rsidRDefault="00380272" w:rsidP="004A4F48">
      <w:r>
        <w:t>D</w:t>
      </w:r>
      <w:r w:rsidR="005230E6">
        <w:t xml:space="preserve">ata </w:t>
      </w:r>
      <w:r>
        <w:t>on unemployment give resea</w:t>
      </w:r>
      <w:r w:rsidR="006C38C7">
        <w:t>rc</w:t>
      </w:r>
      <w:r>
        <w:t xml:space="preserve">hers an idea of </w:t>
      </w:r>
      <w:r w:rsidR="00CA6171">
        <w:t>where skills mismatch</w:t>
      </w:r>
      <w:r>
        <w:t>es</w:t>
      </w:r>
      <w:r w:rsidR="00CA6171">
        <w:t xml:space="preserve"> may </w:t>
      </w:r>
      <w:r>
        <w:t>exist in the region</w:t>
      </w:r>
      <w:r w:rsidR="002112E1">
        <w:t xml:space="preserve">. </w:t>
      </w:r>
      <w:r>
        <w:t>Unemployment data c</w:t>
      </w:r>
      <w:r w:rsidR="005230E6">
        <w:t xml:space="preserve">an </w:t>
      </w:r>
      <w:r w:rsidR="002112E1">
        <w:t xml:space="preserve">also </w:t>
      </w:r>
      <w:r w:rsidR="00CA6171">
        <w:t xml:space="preserve">provide </w:t>
      </w:r>
      <w:r w:rsidR="002112E1">
        <w:t xml:space="preserve">important </w:t>
      </w:r>
      <w:r w:rsidR="00CA6171">
        <w:t xml:space="preserve">context </w:t>
      </w:r>
      <w:r w:rsidR="002112E1">
        <w:t xml:space="preserve">when </w:t>
      </w:r>
      <w:r w:rsidR="00CA6171">
        <w:t>identify</w:t>
      </w:r>
      <w:r w:rsidR="002112E1">
        <w:t xml:space="preserve">ing </w:t>
      </w:r>
      <w:r>
        <w:t xml:space="preserve">the </w:t>
      </w:r>
      <w:r w:rsidR="00CA6171">
        <w:t xml:space="preserve">training programs </w:t>
      </w:r>
      <w:r>
        <w:t xml:space="preserve">that are best suited </w:t>
      </w:r>
      <w:r w:rsidR="009168F9">
        <w:t>to</w:t>
      </w:r>
      <w:r>
        <w:t xml:space="preserve"> </w:t>
      </w:r>
      <w:r w:rsidR="00CA6171">
        <w:t xml:space="preserve">transitioning </w:t>
      </w:r>
      <w:r w:rsidR="009168F9">
        <w:t xml:space="preserve">unemployed </w:t>
      </w:r>
      <w:r w:rsidR="00CA6171">
        <w:t>workers</w:t>
      </w:r>
      <w:r w:rsidR="002112E1">
        <w:t xml:space="preserve"> </w:t>
      </w:r>
      <w:r>
        <w:t>in</w:t>
      </w:r>
      <w:r w:rsidR="002112E1">
        <w:t>to in-demand occupations</w:t>
      </w:r>
      <w:r w:rsidR="00CA6171">
        <w:t>.</w:t>
      </w:r>
    </w:p>
    <w:p w14:paraId="4EF14513" w14:textId="372CA1CC" w:rsidR="002112E1" w:rsidRDefault="002112E1" w:rsidP="002112E1">
      <w:r>
        <w:t xml:space="preserve">Table </w:t>
      </w:r>
      <w:r w:rsidR="00A30445">
        <w:t>1.</w:t>
      </w:r>
      <w:r>
        <w:t xml:space="preserve">6 </w:t>
      </w:r>
      <w:r w:rsidR="00396CD0">
        <w:t xml:space="preserve">and Figure </w:t>
      </w:r>
      <w:r w:rsidR="00A30445">
        <w:t>1.</w:t>
      </w:r>
      <w:r w:rsidR="009C0059">
        <w:t>7</w:t>
      </w:r>
      <w:r w:rsidR="00396CD0">
        <w:t xml:space="preserve"> </w:t>
      </w:r>
      <w:r w:rsidR="00380272">
        <w:t>present</w:t>
      </w:r>
      <w:r w:rsidR="005D5E46" w:rsidRPr="005765A7">
        <w:t xml:space="preserve"> </w:t>
      </w:r>
      <w:r w:rsidR="00380272">
        <w:t xml:space="preserve">the </w:t>
      </w:r>
      <w:r w:rsidR="005D5E46" w:rsidRPr="005765A7">
        <w:t xml:space="preserve">number of people unemployed </w:t>
      </w:r>
      <w:r w:rsidR="005230E6">
        <w:t>by industry sector</w:t>
      </w:r>
      <w:r w:rsidR="00380272">
        <w:t xml:space="preserve"> in the </w:t>
      </w:r>
      <w:r w:rsidR="006C38C7">
        <w:t>CCC</w:t>
      </w:r>
      <w:r w:rsidR="00380272">
        <w:t xml:space="preserve"> </w:t>
      </w:r>
      <w:r w:rsidR="00B101E7">
        <w:t>Economic Region</w:t>
      </w:r>
      <w:r>
        <w:t xml:space="preserve">. Data reflect </w:t>
      </w:r>
      <w:r w:rsidR="00E61E27">
        <w:t>May</w:t>
      </w:r>
      <w:r>
        <w:t xml:space="preserve"> 2014 and follow the same methodology used by the federal statistical agencies to determine the number of workers in an industry that are not currently employed. The unemployment rate is not provided because it is difficult to </w:t>
      </w:r>
      <w:r w:rsidR="00D30516">
        <w:t>accurately</w:t>
      </w:r>
      <w:r>
        <w:t xml:space="preserve"> determine the size of the labor fo</w:t>
      </w:r>
      <w:r w:rsidR="006C38C7">
        <w:t>rc</w:t>
      </w:r>
      <w:r>
        <w:t>e in a given industry on a monthly basis. Rather than the unemployment rate, the pe</w:t>
      </w:r>
      <w:r w:rsidR="006C38C7">
        <w:t>rc</w:t>
      </w:r>
      <w:r>
        <w:t>ent of all unemployed for the region and for the nation are provided to display which industry sectors have the highest concentration of unemployed workers.</w:t>
      </w:r>
    </w:p>
    <w:tbl>
      <w:tblPr>
        <w:tblStyle w:val="MediumShading1-Accent1"/>
        <w:tblW w:w="9468" w:type="dxa"/>
        <w:tblLayout w:type="fixed"/>
        <w:tblLook w:val="04A0" w:firstRow="1" w:lastRow="0" w:firstColumn="1" w:lastColumn="0" w:noHBand="0" w:noVBand="1"/>
      </w:tblPr>
      <w:tblGrid>
        <w:gridCol w:w="826"/>
        <w:gridCol w:w="4321"/>
        <w:gridCol w:w="1439"/>
        <w:gridCol w:w="1439"/>
        <w:gridCol w:w="1443"/>
      </w:tblGrid>
      <w:tr w:rsidR="002112E1" w:rsidRPr="00A27BA6" w14:paraId="5A25907E" w14:textId="77777777" w:rsidTr="004C1209">
        <w:trPr>
          <w:cnfStyle w:val="100000000000" w:firstRow="1" w:lastRow="0" w:firstColumn="0" w:lastColumn="0" w:oddVBand="0" w:evenVBand="0" w:oddHBand="0" w:evenHBand="0" w:firstRowFirstColumn="0" w:firstRowLastColumn="0" w:lastRowFirstColumn="0" w:lastRowLastColumn="0"/>
          <w:trHeight w:hRule="exact" w:val="47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right w:val="nil"/>
            </w:tcBorders>
            <w:shd w:val="clear" w:color="auto" w:fill="auto"/>
            <w:noWrap/>
          </w:tcPr>
          <w:p w14:paraId="79B970B4" w14:textId="0E758644" w:rsidR="002112E1" w:rsidRPr="00244673" w:rsidRDefault="002112E1" w:rsidP="00525D5C">
            <w:pPr>
              <w:pStyle w:val="Tabletitle"/>
              <w:rPr>
                <w:rFonts w:asciiTheme="minorHAnsi" w:hAnsiTheme="minorHAnsi"/>
                <w:b/>
                <w:szCs w:val="18"/>
              </w:rPr>
            </w:pPr>
            <w:r w:rsidRPr="00244673">
              <w:rPr>
                <w:b/>
              </w:rPr>
              <w:lastRenderedPageBreak/>
              <w:t xml:space="preserve">Table </w:t>
            </w:r>
            <w:r w:rsidR="00A30445">
              <w:rPr>
                <w:b/>
              </w:rPr>
              <w:t>1.</w:t>
            </w:r>
            <w:r w:rsidRPr="00244673">
              <w:rPr>
                <w:b/>
              </w:rPr>
              <w:t xml:space="preserve">6: </w:t>
            </w:r>
            <w:r w:rsidR="00525D5C">
              <w:rPr>
                <w:b/>
              </w:rPr>
              <w:t xml:space="preserve">Number of Unemployed Workers by Industry Sector in </w:t>
            </w:r>
            <w:r w:rsidR="006C38C7">
              <w:rPr>
                <w:b/>
              </w:rPr>
              <w:t>CCC</w:t>
            </w:r>
            <w:r w:rsidR="00525D5C">
              <w:rPr>
                <w:b/>
              </w:rPr>
              <w:t xml:space="preserve"> </w:t>
            </w:r>
            <w:r w:rsidR="00B101E7">
              <w:rPr>
                <w:b/>
              </w:rPr>
              <w:t>Economic Region</w:t>
            </w:r>
          </w:p>
        </w:tc>
      </w:tr>
      <w:tr w:rsidR="002112E1" w:rsidRPr="00A27BA6" w14:paraId="48DC9581" w14:textId="77777777" w:rsidTr="00384961">
        <w:trPr>
          <w:cnfStyle w:val="000000100000" w:firstRow="0" w:lastRow="0" w:firstColumn="0" w:lastColumn="0" w:oddVBand="0" w:evenVBand="0" w:oddHBand="1" w:evenHBand="0" w:firstRowFirstColumn="0" w:firstRowLastColumn="0" w:lastRowFirstColumn="0" w:lastRowLastColumn="0"/>
          <w:trHeight w:hRule="exact" w:val="830"/>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shd w:val="clear" w:color="auto" w:fill="4F81BD" w:themeFill="accent1"/>
            <w:noWrap/>
            <w:vAlign w:val="center"/>
            <w:hideMark/>
          </w:tcPr>
          <w:p w14:paraId="6E250936" w14:textId="77777777" w:rsidR="002112E1" w:rsidRPr="00A27BA6" w:rsidRDefault="002112E1" w:rsidP="00384961">
            <w:pPr>
              <w:pStyle w:val="Tableheaderleft"/>
              <w:jc w:val="center"/>
            </w:pPr>
            <w:r w:rsidRPr="00A27BA6">
              <w:t>NAICS Code</w:t>
            </w:r>
          </w:p>
        </w:tc>
        <w:tc>
          <w:tcPr>
            <w:tcW w:w="2282" w:type="pct"/>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1DDF5BD9" w14:textId="77777777" w:rsidR="002112E1" w:rsidRPr="00A27BA6" w:rsidRDefault="002112E1" w:rsidP="00384961">
            <w:pPr>
              <w:pStyle w:val="Tableheaderleft"/>
              <w:jc w:val="center"/>
              <w:cnfStyle w:val="000000100000" w:firstRow="0" w:lastRow="0" w:firstColumn="0" w:lastColumn="0" w:oddVBand="0" w:evenVBand="0" w:oddHBand="1" w:evenHBand="0" w:firstRowFirstColumn="0" w:firstRowLastColumn="0" w:lastRowFirstColumn="0" w:lastRowLastColumn="0"/>
            </w:pPr>
            <w:r w:rsidRPr="00A27BA6">
              <w:t>Description</w:t>
            </w:r>
          </w:p>
        </w:tc>
        <w:tc>
          <w:tcPr>
            <w:tcW w:w="760" w:type="pct"/>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1CD357A5" w14:textId="77777777" w:rsidR="002112E1" w:rsidRPr="008B44E9" w:rsidRDefault="002112E1" w:rsidP="008866CF">
            <w:pPr>
              <w:pStyle w:val="Tableheadercenter"/>
              <w:cnfStyle w:val="000000100000" w:firstRow="0" w:lastRow="0" w:firstColumn="0" w:lastColumn="0" w:oddVBand="0" w:evenVBand="0" w:oddHBand="1" w:evenHBand="0" w:firstRowFirstColumn="0" w:firstRowLastColumn="0" w:lastRowFirstColumn="0" w:lastRowLastColumn="0"/>
            </w:pPr>
            <w:r>
              <w:t>No. of</w:t>
            </w:r>
            <w:r w:rsidRPr="008B44E9">
              <w:t xml:space="preserve"> Unemployed</w:t>
            </w:r>
          </w:p>
        </w:tc>
        <w:tc>
          <w:tcPr>
            <w:tcW w:w="760" w:type="pct"/>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72D6172D" w14:textId="77777777" w:rsidR="002112E1" w:rsidRPr="008B44E9" w:rsidRDefault="002112E1" w:rsidP="008E0427">
            <w:pPr>
              <w:pStyle w:val="Tableheadercenter"/>
              <w:cnfStyle w:val="000000100000" w:firstRow="0" w:lastRow="0" w:firstColumn="0" w:lastColumn="0" w:oddVBand="0" w:evenVBand="0" w:oddHBand="1" w:evenHBand="0" w:firstRowFirstColumn="0" w:firstRowLastColumn="0" w:lastRowFirstColumn="0" w:lastRowLastColumn="0"/>
            </w:pPr>
            <w:r w:rsidRPr="008B44E9">
              <w:t>% of Unemployed</w:t>
            </w:r>
          </w:p>
        </w:tc>
        <w:tc>
          <w:tcPr>
            <w:tcW w:w="762" w:type="pct"/>
            <w:tcBorders>
              <w:left w:val="single" w:sz="8" w:space="0" w:color="7BA0CD" w:themeColor="accent1" w:themeTint="BF"/>
            </w:tcBorders>
            <w:shd w:val="clear" w:color="auto" w:fill="4F81BD" w:themeFill="accent1"/>
            <w:vAlign w:val="center"/>
          </w:tcPr>
          <w:p w14:paraId="1A440912" w14:textId="4EB76638" w:rsidR="002112E1" w:rsidRDefault="002112E1" w:rsidP="008E0427">
            <w:pPr>
              <w:pStyle w:val="Tableheadercenter"/>
              <w:cnfStyle w:val="000000100000" w:firstRow="0" w:lastRow="0" w:firstColumn="0" w:lastColumn="0" w:oddVBand="0" w:evenVBand="0" w:oddHBand="1" w:evenHBand="0" w:firstRowFirstColumn="0" w:firstRowLastColumn="0" w:lastRowFirstColumn="0" w:lastRowLastColumn="0"/>
            </w:pPr>
            <w:r w:rsidRPr="008B44E9">
              <w:t>National</w:t>
            </w:r>
          </w:p>
          <w:p w14:paraId="3F1CA46C" w14:textId="77777777" w:rsidR="002112E1" w:rsidRPr="008B44E9" w:rsidRDefault="002112E1" w:rsidP="008E0427">
            <w:pPr>
              <w:pStyle w:val="Tableheadercenter"/>
              <w:cnfStyle w:val="000000100000" w:firstRow="0" w:lastRow="0" w:firstColumn="0" w:lastColumn="0" w:oddVBand="0" w:evenVBand="0" w:oddHBand="1" w:evenHBand="0" w:firstRowFirstColumn="0" w:firstRowLastColumn="0" w:lastRowFirstColumn="0" w:lastRowLastColumn="0"/>
            </w:pPr>
            <w:r w:rsidRPr="008B44E9">
              <w:t>% of Unemployed</w:t>
            </w:r>
          </w:p>
        </w:tc>
      </w:tr>
      <w:tr w:rsidR="00E61E27" w:rsidRPr="00377B00" w14:paraId="26F36965"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516060A3" w14:textId="77777777" w:rsidR="00E61E27" w:rsidRPr="002112E1" w:rsidRDefault="00E61E27" w:rsidP="00E9271C">
            <w:pPr>
              <w:pStyle w:val="Tablenormalleft"/>
              <w:jc w:val="left"/>
            </w:pPr>
            <w:r w:rsidRPr="002112E1">
              <w:t>11</w:t>
            </w:r>
          </w:p>
        </w:tc>
        <w:tc>
          <w:tcPr>
            <w:tcW w:w="2282" w:type="pct"/>
            <w:tcBorders>
              <w:left w:val="single" w:sz="8" w:space="0" w:color="7BA0CD" w:themeColor="accent1" w:themeTint="BF"/>
              <w:right w:val="single" w:sz="8" w:space="0" w:color="7BA0CD" w:themeColor="accent1" w:themeTint="BF"/>
            </w:tcBorders>
            <w:noWrap/>
            <w:vAlign w:val="center"/>
            <w:hideMark/>
          </w:tcPr>
          <w:p w14:paraId="796820D5"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Agriculture, Forestry, Fishing and Hunting</w:t>
            </w:r>
          </w:p>
        </w:tc>
        <w:tc>
          <w:tcPr>
            <w:tcW w:w="760" w:type="pct"/>
            <w:tcBorders>
              <w:left w:val="single" w:sz="8" w:space="0" w:color="7BA0CD" w:themeColor="accent1" w:themeTint="BF"/>
              <w:right w:val="single" w:sz="8" w:space="0" w:color="7BA0CD" w:themeColor="accent1" w:themeTint="BF"/>
            </w:tcBorders>
            <w:noWrap/>
            <w:vAlign w:val="center"/>
            <w:hideMark/>
          </w:tcPr>
          <w:p w14:paraId="2AC0807E" w14:textId="25A3B7BC"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21,212</w:t>
            </w:r>
          </w:p>
        </w:tc>
        <w:tc>
          <w:tcPr>
            <w:tcW w:w="760" w:type="pct"/>
            <w:tcBorders>
              <w:left w:val="single" w:sz="8" w:space="0" w:color="7BA0CD" w:themeColor="accent1" w:themeTint="BF"/>
              <w:right w:val="single" w:sz="8" w:space="0" w:color="7BA0CD" w:themeColor="accent1" w:themeTint="BF"/>
            </w:tcBorders>
            <w:noWrap/>
            <w:vAlign w:val="center"/>
            <w:hideMark/>
          </w:tcPr>
          <w:p w14:paraId="360E3804" w14:textId="01CB4CB0"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25%</w:t>
            </w:r>
          </w:p>
        </w:tc>
        <w:tc>
          <w:tcPr>
            <w:tcW w:w="762" w:type="pct"/>
            <w:tcBorders>
              <w:left w:val="single" w:sz="8" w:space="0" w:color="7BA0CD" w:themeColor="accent1" w:themeTint="BF"/>
            </w:tcBorders>
            <w:vAlign w:val="center"/>
          </w:tcPr>
          <w:p w14:paraId="5A87CDEA" w14:textId="796A6D4A"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1%</w:t>
            </w:r>
          </w:p>
        </w:tc>
      </w:tr>
      <w:tr w:rsidR="00E61E27" w:rsidRPr="00377B00" w14:paraId="1A74A3DF"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631F03EF" w14:textId="77777777" w:rsidR="00E61E27" w:rsidRPr="002112E1" w:rsidRDefault="00E61E27" w:rsidP="00E9271C">
            <w:pPr>
              <w:pStyle w:val="Tablenormalleft"/>
              <w:jc w:val="left"/>
            </w:pPr>
            <w:r w:rsidRPr="002112E1">
              <w:t>21</w:t>
            </w:r>
          </w:p>
        </w:tc>
        <w:tc>
          <w:tcPr>
            <w:tcW w:w="2282" w:type="pct"/>
            <w:tcBorders>
              <w:left w:val="single" w:sz="8" w:space="0" w:color="7BA0CD" w:themeColor="accent1" w:themeTint="BF"/>
              <w:right w:val="single" w:sz="8" w:space="0" w:color="7BA0CD" w:themeColor="accent1" w:themeTint="BF"/>
            </w:tcBorders>
            <w:noWrap/>
            <w:vAlign w:val="center"/>
            <w:hideMark/>
          </w:tcPr>
          <w:p w14:paraId="37E6C32A"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Mining, Quarrying, and Oil and Gas Extraction</w:t>
            </w:r>
          </w:p>
        </w:tc>
        <w:tc>
          <w:tcPr>
            <w:tcW w:w="760" w:type="pct"/>
            <w:tcBorders>
              <w:left w:val="single" w:sz="8" w:space="0" w:color="7BA0CD" w:themeColor="accent1" w:themeTint="BF"/>
              <w:right w:val="single" w:sz="8" w:space="0" w:color="7BA0CD" w:themeColor="accent1" w:themeTint="BF"/>
            </w:tcBorders>
            <w:noWrap/>
            <w:vAlign w:val="center"/>
            <w:hideMark/>
          </w:tcPr>
          <w:p w14:paraId="2AD9E5D8" w14:textId="78C44837"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13</w:t>
            </w:r>
          </w:p>
        </w:tc>
        <w:tc>
          <w:tcPr>
            <w:tcW w:w="760" w:type="pct"/>
            <w:tcBorders>
              <w:left w:val="single" w:sz="8" w:space="0" w:color="7BA0CD" w:themeColor="accent1" w:themeTint="BF"/>
              <w:right w:val="single" w:sz="8" w:space="0" w:color="7BA0CD" w:themeColor="accent1" w:themeTint="BF"/>
            </w:tcBorders>
            <w:noWrap/>
            <w:vAlign w:val="center"/>
            <w:hideMark/>
          </w:tcPr>
          <w:p w14:paraId="0453632B" w14:textId="09138F8E"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0%</w:t>
            </w:r>
          </w:p>
        </w:tc>
        <w:tc>
          <w:tcPr>
            <w:tcW w:w="762" w:type="pct"/>
            <w:tcBorders>
              <w:left w:val="single" w:sz="8" w:space="0" w:color="7BA0CD" w:themeColor="accent1" w:themeTint="BF"/>
            </w:tcBorders>
            <w:vAlign w:val="center"/>
          </w:tcPr>
          <w:p w14:paraId="0E1017FB" w14:textId="1DAF5B8F"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1%</w:t>
            </w:r>
          </w:p>
        </w:tc>
      </w:tr>
      <w:tr w:rsidR="00E61E27" w:rsidRPr="00377B00" w14:paraId="67100BAF"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07BF5185" w14:textId="77777777" w:rsidR="00E61E27" w:rsidRPr="002112E1" w:rsidRDefault="00E61E27" w:rsidP="00E9271C">
            <w:pPr>
              <w:pStyle w:val="Tablenormalleft"/>
              <w:jc w:val="left"/>
            </w:pPr>
            <w:r w:rsidRPr="002112E1">
              <w:t>22</w:t>
            </w:r>
          </w:p>
        </w:tc>
        <w:tc>
          <w:tcPr>
            <w:tcW w:w="2282" w:type="pct"/>
            <w:tcBorders>
              <w:left w:val="single" w:sz="8" w:space="0" w:color="7BA0CD" w:themeColor="accent1" w:themeTint="BF"/>
              <w:right w:val="single" w:sz="8" w:space="0" w:color="7BA0CD" w:themeColor="accent1" w:themeTint="BF"/>
            </w:tcBorders>
            <w:noWrap/>
            <w:vAlign w:val="center"/>
            <w:hideMark/>
          </w:tcPr>
          <w:p w14:paraId="51A714EF"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Utilities</w:t>
            </w:r>
          </w:p>
        </w:tc>
        <w:tc>
          <w:tcPr>
            <w:tcW w:w="760" w:type="pct"/>
            <w:tcBorders>
              <w:left w:val="single" w:sz="8" w:space="0" w:color="7BA0CD" w:themeColor="accent1" w:themeTint="BF"/>
              <w:right w:val="single" w:sz="8" w:space="0" w:color="7BA0CD" w:themeColor="accent1" w:themeTint="BF"/>
            </w:tcBorders>
            <w:noWrap/>
            <w:vAlign w:val="center"/>
            <w:hideMark/>
          </w:tcPr>
          <w:p w14:paraId="11DB08D1" w14:textId="41BD62D3"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420</w:t>
            </w:r>
          </w:p>
        </w:tc>
        <w:tc>
          <w:tcPr>
            <w:tcW w:w="760" w:type="pct"/>
            <w:tcBorders>
              <w:left w:val="single" w:sz="8" w:space="0" w:color="7BA0CD" w:themeColor="accent1" w:themeTint="BF"/>
              <w:right w:val="single" w:sz="8" w:space="0" w:color="7BA0CD" w:themeColor="accent1" w:themeTint="BF"/>
            </w:tcBorders>
            <w:noWrap/>
            <w:vAlign w:val="center"/>
            <w:hideMark/>
          </w:tcPr>
          <w:p w14:paraId="1AEDF44C" w14:textId="1F7CB075"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0%</w:t>
            </w:r>
          </w:p>
        </w:tc>
        <w:tc>
          <w:tcPr>
            <w:tcW w:w="762" w:type="pct"/>
            <w:tcBorders>
              <w:left w:val="single" w:sz="8" w:space="0" w:color="7BA0CD" w:themeColor="accent1" w:themeTint="BF"/>
            </w:tcBorders>
            <w:vAlign w:val="center"/>
          </w:tcPr>
          <w:p w14:paraId="35C1CE31" w14:textId="78FDB9B4"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0%</w:t>
            </w:r>
          </w:p>
        </w:tc>
      </w:tr>
      <w:tr w:rsidR="00E61E27" w:rsidRPr="00377B00" w14:paraId="6479DFCE"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6D9D2944" w14:textId="77777777" w:rsidR="00E61E27" w:rsidRPr="002112E1" w:rsidRDefault="00E61E27" w:rsidP="00E9271C">
            <w:pPr>
              <w:pStyle w:val="Tablenormalleft"/>
              <w:jc w:val="left"/>
            </w:pPr>
            <w:r w:rsidRPr="002112E1">
              <w:t>23</w:t>
            </w:r>
          </w:p>
        </w:tc>
        <w:tc>
          <w:tcPr>
            <w:tcW w:w="2282" w:type="pct"/>
            <w:tcBorders>
              <w:left w:val="single" w:sz="8" w:space="0" w:color="7BA0CD" w:themeColor="accent1" w:themeTint="BF"/>
              <w:right w:val="single" w:sz="8" w:space="0" w:color="7BA0CD" w:themeColor="accent1" w:themeTint="BF"/>
            </w:tcBorders>
            <w:noWrap/>
            <w:vAlign w:val="center"/>
            <w:hideMark/>
          </w:tcPr>
          <w:p w14:paraId="4144F6BC"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Construction</w:t>
            </w:r>
          </w:p>
        </w:tc>
        <w:tc>
          <w:tcPr>
            <w:tcW w:w="760" w:type="pct"/>
            <w:tcBorders>
              <w:left w:val="single" w:sz="8" w:space="0" w:color="7BA0CD" w:themeColor="accent1" w:themeTint="BF"/>
              <w:right w:val="single" w:sz="8" w:space="0" w:color="7BA0CD" w:themeColor="accent1" w:themeTint="BF"/>
            </w:tcBorders>
            <w:noWrap/>
            <w:vAlign w:val="center"/>
            <w:hideMark/>
          </w:tcPr>
          <w:p w14:paraId="0DBA6CD5" w14:textId="0D40FA42"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4,488</w:t>
            </w:r>
          </w:p>
        </w:tc>
        <w:tc>
          <w:tcPr>
            <w:tcW w:w="760" w:type="pct"/>
            <w:tcBorders>
              <w:left w:val="single" w:sz="8" w:space="0" w:color="7BA0CD" w:themeColor="accent1" w:themeTint="BF"/>
              <w:right w:val="single" w:sz="8" w:space="0" w:color="7BA0CD" w:themeColor="accent1" w:themeTint="BF"/>
            </w:tcBorders>
            <w:noWrap/>
            <w:vAlign w:val="center"/>
            <w:hideMark/>
          </w:tcPr>
          <w:p w14:paraId="43EDD563" w14:textId="340E3068"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5%</w:t>
            </w:r>
          </w:p>
        </w:tc>
        <w:tc>
          <w:tcPr>
            <w:tcW w:w="762" w:type="pct"/>
            <w:tcBorders>
              <w:left w:val="single" w:sz="8" w:space="0" w:color="7BA0CD" w:themeColor="accent1" w:themeTint="BF"/>
            </w:tcBorders>
            <w:vAlign w:val="center"/>
          </w:tcPr>
          <w:p w14:paraId="161FFEAD" w14:textId="19A90FE9"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8%</w:t>
            </w:r>
          </w:p>
        </w:tc>
      </w:tr>
      <w:tr w:rsidR="00E61E27" w:rsidRPr="00377B00" w14:paraId="7FEFA8E9"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328BBB14" w14:textId="77777777" w:rsidR="00E61E27" w:rsidRPr="002112E1" w:rsidRDefault="00E61E27" w:rsidP="00E9271C">
            <w:pPr>
              <w:pStyle w:val="Tablenormalleft"/>
              <w:jc w:val="left"/>
            </w:pPr>
            <w:r w:rsidRPr="002112E1">
              <w:t>31</w:t>
            </w:r>
          </w:p>
        </w:tc>
        <w:tc>
          <w:tcPr>
            <w:tcW w:w="2282" w:type="pct"/>
            <w:tcBorders>
              <w:left w:val="single" w:sz="8" w:space="0" w:color="7BA0CD" w:themeColor="accent1" w:themeTint="BF"/>
              <w:right w:val="single" w:sz="8" w:space="0" w:color="7BA0CD" w:themeColor="accent1" w:themeTint="BF"/>
            </w:tcBorders>
            <w:noWrap/>
            <w:vAlign w:val="center"/>
            <w:hideMark/>
          </w:tcPr>
          <w:p w14:paraId="3594AE8E"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Manufacturing</w:t>
            </w:r>
          </w:p>
        </w:tc>
        <w:tc>
          <w:tcPr>
            <w:tcW w:w="760" w:type="pct"/>
            <w:tcBorders>
              <w:left w:val="single" w:sz="8" w:space="0" w:color="7BA0CD" w:themeColor="accent1" w:themeTint="BF"/>
              <w:right w:val="single" w:sz="8" w:space="0" w:color="7BA0CD" w:themeColor="accent1" w:themeTint="BF"/>
            </w:tcBorders>
            <w:noWrap/>
            <w:vAlign w:val="center"/>
            <w:hideMark/>
          </w:tcPr>
          <w:p w14:paraId="23F95195" w14:textId="558F480B"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6,804</w:t>
            </w:r>
          </w:p>
        </w:tc>
        <w:tc>
          <w:tcPr>
            <w:tcW w:w="760" w:type="pct"/>
            <w:tcBorders>
              <w:left w:val="single" w:sz="8" w:space="0" w:color="7BA0CD" w:themeColor="accent1" w:themeTint="BF"/>
              <w:right w:val="single" w:sz="8" w:space="0" w:color="7BA0CD" w:themeColor="accent1" w:themeTint="BF"/>
            </w:tcBorders>
            <w:noWrap/>
            <w:vAlign w:val="center"/>
            <w:hideMark/>
          </w:tcPr>
          <w:p w14:paraId="2EBB8C5C" w14:textId="47C6C250"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8%</w:t>
            </w:r>
          </w:p>
        </w:tc>
        <w:tc>
          <w:tcPr>
            <w:tcW w:w="762" w:type="pct"/>
            <w:tcBorders>
              <w:left w:val="single" w:sz="8" w:space="0" w:color="7BA0CD" w:themeColor="accent1" w:themeTint="BF"/>
            </w:tcBorders>
            <w:vAlign w:val="center"/>
          </w:tcPr>
          <w:p w14:paraId="6C0466FB" w14:textId="758FDA9B"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9%</w:t>
            </w:r>
          </w:p>
        </w:tc>
      </w:tr>
      <w:tr w:rsidR="00E61E27" w:rsidRPr="00377B00" w14:paraId="7CDE472F"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282FEAE8" w14:textId="77777777" w:rsidR="00E61E27" w:rsidRPr="002112E1" w:rsidRDefault="00E61E27" w:rsidP="00E9271C">
            <w:pPr>
              <w:pStyle w:val="Tablenormalleft"/>
              <w:jc w:val="left"/>
            </w:pPr>
            <w:r w:rsidRPr="002112E1">
              <w:t>42</w:t>
            </w:r>
          </w:p>
        </w:tc>
        <w:tc>
          <w:tcPr>
            <w:tcW w:w="2282" w:type="pct"/>
            <w:tcBorders>
              <w:left w:val="single" w:sz="8" w:space="0" w:color="7BA0CD" w:themeColor="accent1" w:themeTint="BF"/>
              <w:right w:val="single" w:sz="8" w:space="0" w:color="7BA0CD" w:themeColor="accent1" w:themeTint="BF"/>
            </w:tcBorders>
            <w:noWrap/>
            <w:vAlign w:val="center"/>
            <w:hideMark/>
          </w:tcPr>
          <w:p w14:paraId="51538E49"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Wholesale Trade</w:t>
            </w:r>
          </w:p>
        </w:tc>
        <w:tc>
          <w:tcPr>
            <w:tcW w:w="760" w:type="pct"/>
            <w:tcBorders>
              <w:left w:val="single" w:sz="8" w:space="0" w:color="7BA0CD" w:themeColor="accent1" w:themeTint="BF"/>
              <w:right w:val="single" w:sz="8" w:space="0" w:color="7BA0CD" w:themeColor="accent1" w:themeTint="BF"/>
            </w:tcBorders>
            <w:noWrap/>
            <w:vAlign w:val="center"/>
            <w:hideMark/>
          </w:tcPr>
          <w:p w14:paraId="0D8675B7" w14:textId="7B5267CA"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154</w:t>
            </w:r>
          </w:p>
        </w:tc>
        <w:tc>
          <w:tcPr>
            <w:tcW w:w="760" w:type="pct"/>
            <w:tcBorders>
              <w:left w:val="single" w:sz="8" w:space="0" w:color="7BA0CD" w:themeColor="accent1" w:themeTint="BF"/>
              <w:right w:val="single" w:sz="8" w:space="0" w:color="7BA0CD" w:themeColor="accent1" w:themeTint="BF"/>
            </w:tcBorders>
            <w:noWrap/>
            <w:vAlign w:val="center"/>
            <w:hideMark/>
          </w:tcPr>
          <w:p w14:paraId="7A5EB63C" w14:textId="6A1EED7E"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0%</w:t>
            </w:r>
          </w:p>
        </w:tc>
        <w:tc>
          <w:tcPr>
            <w:tcW w:w="762" w:type="pct"/>
            <w:tcBorders>
              <w:left w:val="single" w:sz="8" w:space="0" w:color="7BA0CD" w:themeColor="accent1" w:themeTint="BF"/>
            </w:tcBorders>
            <w:vAlign w:val="center"/>
          </w:tcPr>
          <w:p w14:paraId="1E8203F3" w14:textId="660E3380"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2%</w:t>
            </w:r>
          </w:p>
        </w:tc>
      </w:tr>
      <w:tr w:rsidR="00E61E27" w:rsidRPr="00377B00" w14:paraId="65E4F54A"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765DC1F8" w14:textId="77777777" w:rsidR="00E61E27" w:rsidRPr="002112E1" w:rsidRDefault="00E61E27" w:rsidP="00E9271C">
            <w:pPr>
              <w:pStyle w:val="Tablenormalleft"/>
              <w:jc w:val="left"/>
            </w:pPr>
            <w:r w:rsidRPr="002112E1">
              <w:t>44</w:t>
            </w:r>
          </w:p>
        </w:tc>
        <w:tc>
          <w:tcPr>
            <w:tcW w:w="2282" w:type="pct"/>
            <w:tcBorders>
              <w:left w:val="single" w:sz="8" w:space="0" w:color="7BA0CD" w:themeColor="accent1" w:themeTint="BF"/>
              <w:right w:val="single" w:sz="8" w:space="0" w:color="7BA0CD" w:themeColor="accent1" w:themeTint="BF"/>
            </w:tcBorders>
            <w:noWrap/>
            <w:vAlign w:val="center"/>
            <w:hideMark/>
          </w:tcPr>
          <w:p w14:paraId="05E73684"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Retail Trade</w:t>
            </w:r>
          </w:p>
        </w:tc>
        <w:tc>
          <w:tcPr>
            <w:tcW w:w="760" w:type="pct"/>
            <w:tcBorders>
              <w:left w:val="single" w:sz="8" w:space="0" w:color="7BA0CD" w:themeColor="accent1" w:themeTint="BF"/>
              <w:right w:val="single" w:sz="8" w:space="0" w:color="7BA0CD" w:themeColor="accent1" w:themeTint="BF"/>
            </w:tcBorders>
            <w:noWrap/>
            <w:vAlign w:val="center"/>
            <w:hideMark/>
          </w:tcPr>
          <w:p w14:paraId="12231D54" w14:textId="2AFDFF8A"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8,310</w:t>
            </w:r>
          </w:p>
        </w:tc>
        <w:tc>
          <w:tcPr>
            <w:tcW w:w="760" w:type="pct"/>
            <w:tcBorders>
              <w:left w:val="single" w:sz="8" w:space="0" w:color="7BA0CD" w:themeColor="accent1" w:themeTint="BF"/>
              <w:right w:val="single" w:sz="8" w:space="0" w:color="7BA0CD" w:themeColor="accent1" w:themeTint="BF"/>
            </w:tcBorders>
            <w:noWrap/>
            <w:vAlign w:val="center"/>
            <w:hideMark/>
          </w:tcPr>
          <w:p w14:paraId="6828DBE8" w14:textId="73603A92"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10%</w:t>
            </w:r>
          </w:p>
        </w:tc>
        <w:tc>
          <w:tcPr>
            <w:tcW w:w="762" w:type="pct"/>
            <w:tcBorders>
              <w:left w:val="single" w:sz="8" w:space="0" w:color="7BA0CD" w:themeColor="accent1" w:themeTint="BF"/>
            </w:tcBorders>
            <w:vAlign w:val="center"/>
          </w:tcPr>
          <w:p w14:paraId="02893C8F" w14:textId="36C7F4CA"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12%</w:t>
            </w:r>
          </w:p>
        </w:tc>
      </w:tr>
      <w:tr w:rsidR="00E61E27" w:rsidRPr="00377B00" w14:paraId="441CDE64"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1BA312B2" w14:textId="77777777" w:rsidR="00E61E27" w:rsidRPr="002112E1" w:rsidRDefault="00E61E27" w:rsidP="00E9271C">
            <w:pPr>
              <w:pStyle w:val="Tablenormalleft"/>
              <w:jc w:val="left"/>
            </w:pPr>
            <w:r w:rsidRPr="002112E1">
              <w:t>48</w:t>
            </w:r>
          </w:p>
        </w:tc>
        <w:tc>
          <w:tcPr>
            <w:tcW w:w="2282" w:type="pct"/>
            <w:tcBorders>
              <w:left w:val="single" w:sz="8" w:space="0" w:color="7BA0CD" w:themeColor="accent1" w:themeTint="BF"/>
              <w:right w:val="single" w:sz="8" w:space="0" w:color="7BA0CD" w:themeColor="accent1" w:themeTint="BF"/>
            </w:tcBorders>
            <w:noWrap/>
            <w:vAlign w:val="center"/>
            <w:hideMark/>
          </w:tcPr>
          <w:p w14:paraId="5A10F5FA"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Transportation and Warehousing</w:t>
            </w:r>
          </w:p>
        </w:tc>
        <w:tc>
          <w:tcPr>
            <w:tcW w:w="760" w:type="pct"/>
            <w:tcBorders>
              <w:left w:val="single" w:sz="8" w:space="0" w:color="7BA0CD" w:themeColor="accent1" w:themeTint="BF"/>
              <w:right w:val="single" w:sz="8" w:space="0" w:color="7BA0CD" w:themeColor="accent1" w:themeTint="BF"/>
            </w:tcBorders>
            <w:noWrap/>
            <w:vAlign w:val="center"/>
            <w:hideMark/>
          </w:tcPr>
          <w:p w14:paraId="57B96451" w14:textId="0CC3950C"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2,135</w:t>
            </w:r>
          </w:p>
        </w:tc>
        <w:tc>
          <w:tcPr>
            <w:tcW w:w="760" w:type="pct"/>
            <w:tcBorders>
              <w:left w:val="single" w:sz="8" w:space="0" w:color="7BA0CD" w:themeColor="accent1" w:themeTint="BF"/>
              <w:right w:val="single" w:sz="8" w:space="0" w:color="7BA0CD" w:themeColor="accent1" w:themeTint="BF"/>
            </w:tcBorders>
            <w:noWrap/>
            <w:vAlign w:val="center"/>
            <w:hideMark/>
          </w:tcPr>
          <w:p w14:paraId="7E4A51DC" w14:textId="2DE44C02"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2%</w:t>
            </w:r>
          </w:p>
        </w:tc>
        <w:tc>
          <w:tcPr>
            <w:tcW w:w="762" w:type="pct"/>
            <w:tcBorders>
              <w:left w:val="single" w:sz="8" w:space="0" w:color="7BA0CD" w:themeColor="accent1" w:themeTint="BF"/>
            </w:tcBorders>
            <w:vAlign w:val="center"/>
          </w:tcPr>
          <w:p w14:paraId="04336E58" w14:textId="72CEA756"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3%</w:t>
            </w:r>
          </w:p>
        </w:tc>
      </w:tr>
      <w:tr w:rsidR="00E61E27" w:rsidRPr="00377B00" w14:paraId="509DAAB8"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228C738D" w14:textId="77777777" w:rsidR="00E61E27" w:rsidRPr="002112E1" w:rsidRDefault="00E61E27" w:rsidP="00E9271C">
            <w:pPr>
              <w:pStyle w:val="Tablenormalleft"/>
              <w:jc w:val="left"/>
            </w:pPr>
            <w:r w:rsidRPr="002112E1">
              <w:t>51</w:t>
            </w:r>
          </w:p>
        </w:tc>
        <w:tc>
          <w:tcPr>
            <w:tcW w:w="2282" w:type="pct"/>
            <w:tcBorders>
              <w:left w:val="single" w:sz="8" w:space="0" w:color="7BA0CD" w:themeColor="accent1" w:themeTint="BF"/>
              <w:right w:val="single" w:sz="8" w:space="0" w:color="7BA0CD" w:themeColor="accent1" w:themeTint="BF"/>
            </w:tcBorders>
            <w:noWrap/>
            <w:vAlign w:val="center"/>
            <w:hideMark/>
          </w:tcPr>
          <w:p w14:paraId="0139BE2B"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Information</w:t>
            </w:r>
          </w:p>
        </w:tc>
        <w:tc>
          <w:tcPr>
            <w:tcW w:w="760" w:type="pct"/>
            <w:tcBorders>
              <w:left w:val="single" w:sz="8" w:space="0" w:color="7BA0CD" w:themeColor="accent1" w:themeTint="BF"/>
              <w:right w:val="single" w:sz="8" w:space="0" w:color="7BA0CD" w:themeColor="accent1" w:themeTint="BF"/>
            </w:tcBorders>
            <w:noWrap/>
            <w:vAlign w:val="center"/>
            <w:hideMark/>
          </w:tcPr>
          <w:p w14:paraId="1F413836" w14:textId="284B447B"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1,133</w:t>
            </w:r>
          </w:p>
        </w:tc>
        <w:tc>
          <w:tcPr>
            <w:tcW w:w="760" w:type="pct"/>
            <w:tcBorders>
              <w:left w:val="single" w:sz="8" w:space="0" w:color="7BA0CD" w:themeColor="accent1" w:themeTint="BF"/>
              <w:right w:val="single" w:sz="8" w:space="0" w:color="7BA0CD" w:themeColor="accent1" w:themeTint="BF"/>
            </w:tcBorders>
            <w:noWrap/>
            <w:vAlign w:val="center"/>
            <w:hideMark/>
          </w:tcPr>
          <w:p w14:paraId="24163920" w14:textId="0A945131"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w:t>
            </w:r>
          </w:p>
        </w:tc>
        <w:tc>
          <w:tcPr>
            <w:tcW w:w="762" w:type="pct"/>
            <w:tcBorders>
              <w:left w:val="single" w:sz="8" w:space="0" w:color="7BA0CD" w:themeColor="accent1" w:themeTint="BF"/>
            </w:tcBorders>
            <w:vAlign w:val="center"/>
          </w:tcPr>
          <w:p w14:paraId="039A46E0" w14:textId="622DB6C9"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2%</w:t>
            </w:r>
          </w:p>
        </w:tc>
      </w:tr>
      <w:tr w:rsidR="00E61E27" w:rsidRPr="00377B00" w14:paraId="28D19A76"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4BAB44E6" w14:textId="77777777" w:rsidR="00E61E27" w:rsidRPr="002112E1" w:rsidRDefault="00E61E27" w:rsidP="00E9271C">
            <w:pPr>
              <w:pStyle w:val="Tablenormalleft"/>
              <w:jc w:val="left"/>
            </w:pPr>
            <w:r w:rsidRPr="002112E1">
              <w:t>52</w:t>
            </w:r>
          </w:p>
        </w:tc>
        <w:tc>
          <w:tcPr>
            <w:tcW w:w="2282" w:type="pct"/>
            <w:tcBorders>
              <w:left w:val="single" w:sz="8" w:space="0" w:color="7BA0CD" w:themeColor="accent1" w:themeTint="BF"/>
              <w:right w:val="single" w:sz="8" w:space="0" w:color="7BA0CD" w:themeColor="accent1" w:themeTint="BF"/>
            </w:tcBorders>
            <w:noWrap/>
            <w:vAlign w:val="center"/>
            <w:hideMark/>
          </w:tcPr>
          <w:p w14:paraId="047F0AF1"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Finance and Insurance</w:t>
            </w:r>
          </w:p>
        </w:tc>
        <w:tc>
          <w:tcPr>
            <w:tcW w:w="760" w:type="pct"/>
            <w:tcBorders>
              <w:left w:val="single" w:sz="8" w:space="0" w:color="7BA0CD" w:themeColor="accent1" w:themeTint="BF"/>
              <w:right w:val="single" w:sz="8" w:space="0" w:color="7BA0CD" w:themeColor="accent1" w:themeTint="BF"/>
            </w:tcBorders>
            <w:noWrap/>
            <w:vAlign w:val="center"/>
            <w:hideMark/>
          </w:tcPr>
          <w:p w14:paraId="18D37BCC" w14:textId="2861AC0B"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995</w:t>
            </w:r>
          </w:p>
        </w:tc>
        <w:tc>
          <w:tcPr>
            <w:tcW w:w="760" w:type="pct"/>
            <w:tcBorders>
              <w:left w:val="single" w:sz="8" w:space="0" w:color="7BA0CD" w:themeColor="accent1" w:themeTint="BF"/>
              <w:right w:val="single" w:sz="8" w:space="0" w:color="7BA0CD" w:themeColor="accent1" w:themeTint="BF"/>
            </w:tcBorders>
            <w:noWrap/>
            <w:vAlign w:val="center"/>
            <w:hideMark/>
          </w:tcPr>
          <w:p w14:paraId="0440F616" w14:textId="39DD5F17"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1%</w:t>
            </w:r>
          </w:p>
        </w:tc>
        <w:tc>
          <w:tcPr>
            <w:tcW w:w="762" w:type="pct"/>
            <w:tcBorders>
              <w:left w:val="single" w:sz="8" w:space="0" w:color="7BA0CD" w:themeColor="accent1" w:themeTint="BF"/>
            </w:tcBorders>
            <w:vAlign w:val="center"/>
          </w:tcPr>
          <w:p w14:paraId="4B2D6D94" w14:textId="360E0C02"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3%</w:t>
            </w:r>
          </w:p>
        </w:tc>
      </w:tr>
      <w:tr w:rsidR="00E61E27" w:rsidRPr="00377B00" w14:paraId="02ADFA97"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0C1F7697" w14:textId="77777777" w:rsidR="00E61E27" w:rsidRPr="002112E1" w:rsidRDefault="00E61E27" w:rsidP="00E9271C">
            <w:pPr>
              <w:pStyle w:val="Tablenormalleft"/>
              <w:jc w:val="left"/>
            </w:pPr>
            <w:r w:rsidRPr="002112E1">
              <w:t>53</w:t>
            </w:r>
          </w:p>
        </w:tc>
        <w:tc>
          <w:tcPr>
            <w:tcW w:w="2282" w:type="pct"/>
            <w:tcBorders>
              <w:left w:val="single" w:sz="8" w:space="0" w:color="7BA0CD" w:themeColor="accent1" w:themeTint="BF"/>
              <w:right w:val="single" w:sz="8" w:space="0" w:color="7BA0CD" w:themeColor="accent1" w:themeTint="BF"/>
            </w:tcBorders>
            <w:noWrap/>
            <w:vAlign w:val="center"/>
            <w:hideMark/>
          </w:tcPr>
          <w:p w14:paraId="2E152A8A"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Real Estate and Rental and Leasing</w:t>
            </w:r>
          </w:p>
        </w:tc>
        <w:tc>
          <w:tcPr>
            <w:tcW w:w="760" w:type="pct"/>
            <w:tcBorders>
              <w:left w:val="single" w:sz="8" w:space="0" w:color="7BA0CD" w:themeColor="accent1" w:themeTint="BF"/>
              <w:right w:val="single" w:sz="8" w:space="0" w:color="7BA0CD" w:themeColor="accent1" w:themeTint="BF"/>
            </w:tcBorders>
            <w:noWrap/>
            <w:vAlign w:val="center"/>
            <w:hideMark/>
          </w:tcPr>
          <w:p w14:paraId="7D0DC5FF" w14:textId="1771A2E9"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488</w:t>
            </w:r>
          </w:p>
        </w:tc>
        <w:tc>
          <w:tcPr>
            <w:tcW w:w="760" w:type="pct"/>
            <w:tcBorders>
              <w:left w:val="single" w:sz="8" w:space="0" w:color="7BA0CD" w:themeColor="accent1" w:themeTint="BF"/>
              <w:right w:val="single" w:sz="8" w:space="0" w:color="7BA0CD" w:themeColor="accent1" w:themeTint="BF"/>
            </w:tcBorders>
            <w:noWrap/>
            <w:vAlign w:val="center"/>
            <w:hideMark/>
          </w:tcPr>
          <w:p w14:paraId="1471CDFC" w14:textId="3B41A54B"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w:t>
            </w:r>
          </w:p>
        </w:tc>
        <w:tc>
          <w:tcPr>
            <w:tcW w:w="762" w:type="pct"/>
            <w:tcBorders>
              <w:left w:val="single" w:sz="8" w:space="0" w:color="7BA0CD" w:themeColor="accent1" w:themeTint="BF"/>
            </w:tcBorders>
            <w:vAlign w:val="center"/>
          </w:tcPr>
          <w:p w14:paraId="6CF80A3F" w14:textId="2BE16843"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1%</w:t>
            </w:r>
          </w:p>
        </w:tc>
      </w:tr>
      <w:tr w:rsidR="00E61E27" w:rsidRPr="00377B00" w14:paraId="5A4E312E"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67733551" w14:textId="77777777" w:rsidR="00E61E27" w:rsidRPr="002112E1" w:rsidRDefault="00E61E27" w:rsidP="00E9271C">
            <w:pPr>
              <w:pStyle w:val="Tablenormalleft"/>
              <w:jc w:val="left"/>
            </w:pPr>
            <w:r w:rsidRPr="002112E1">
              <w:t>54</w:t>
            </w:r>
          </w:p>
        </w:tc>
        <w:tc>
          <w:tcPr>
            <w:tcW w:w="2282" w:type="pct"/>
            <w:tcBorders>
              <w:left w:val="single" w:sz="8" w:space="0" w:color="7BA0CD" w:themeColor="accent1" w:themeTint="BF"/>
              <w:right w:val="single" w:sz="8" w:space="0" w:color="7BA0CD" w:themeColor="accent1" w:themeTint="BF"/>
            </w:tcBorders>
            <w:noWrap/>
            <w:vAlign w:val="center"/>
            <w:hideMark/>
          </w:tcPr>
          <w:p w14:paraId="49D142B0"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Professional, Scientific, and Technical Services</w:t>
            </w:r>
          </w:p>
        </w:tc>
        <w:tc>
          <w:tcPr>
            <w:tcW w:w="760" w:type="pct"/>
            <w:tcBorders>
              <w:left w:val="single" w:sz="8" w:space="0" w:color="7BA0CD" w:themeColor="accent1" w:themeTint="BF"/>
              <w:right w:val="single" w:sz="8" w:space="0" w:color="7BA0CD" w:themeColor="accent1" w:themeTint="BF"/>
            </w:tcBorders>
            <w:noWrap/>
            <w:vAlign w:val="center"/>
            <w:hideMark/>
          </w:tcPr>
          <w:p w14:paraId="7BF837BF" w14:textId="1B20AD80"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459</w:t>
            </w:r>
          </w:p>
        </w:tc>
        <w:tc>
          <w:tcPr>
            <w:tcW w:w="760" w:type="pct"/>
            <w:tcBorders>
              <w:left w:val="single" w:sz="8" w:space="0" w:color="7BA0CD" w:themeColor="accent1" w:themeTint="BF"/>
              <w:right w:val="single" w:sz="8" w:space="0" w:color="7BA0CD" w:themeColor="accent1" w:themeTint="BF"/>
            </w:tcBorders>
            <w:noWrap/>
            <w:vAlign w:val="center"/>
            <w:hideMark/>
          </w:tcPr>
          <w:p w14:paraId="7C7F841B" w14:textId="30FB1594"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1%</w:t>
            </w:r>
          </w:p>
        </w:tc>
        <w:tc>
          <w:tcPr>
            <w:tcW w:w="762" w:type="pct"/>
            <w:tcBorders>
              <w:left w:val="single" w:sz="8" w:space="0" w:color="7BA0CD" w:themeColor="accent1" w:themeTint="BF"/>
            </w:tcBorders>
            <w:vAlign w:val="center"/>
          </w:tcPr>
          <w:p w14:paraId="42FC0B66" w14:textId="399E2D0A"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4%</w:t>
            </w:r>
          </w:p>
        </w:tc>
      </w:tr>
      <w:tr w:rsidR="00E61E27" w:rsidRPr="00377B00" w14:paraId="258366FE"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04C1857C" w14:textId="77777777" w:rsidR="00E61E27" w:rsidRPr="002112E1" w:rsidRDefault="00E61E27" w:rsidP="00E9271C">
            <w:pPr>
              <w:pStyle w:val="Tablenormalleft"/>
              <w:jc w:val="left"/>
            </w:pPr>
            <w:r w:rsidRPr="002112E1">
              <w:t>55</w:t>
            </w:r>
          </w:p>
        </w:tc>
        <w:tc>
          <w:tcPr>
            <w:tcW w:w="2282" w:type="pct"/>
            <w:tcBorders>
              <w:left w:val="single" w:sz="8" w:space="0" w:color="7BA0CD" w:themeColor="accent1" w:themeTint="BF"/>
              <w:right w:val="single" w:sz="8" w:space="0" w:color="7BA0CD" w:themeColor="accent1" w:themeTint="BF"/>
            </w:tcBorders>
            <w:noWrap/>
            <w:vAlign w:val="center"/>
            <w:hideMark/>
          </w:tcPr>
          <w:p w14:paraId="0F2A9C60"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Management of Companies and Enterprises</w:t>
            </w:r>
          </w:p>
        </w:tc>
        <w:tc>
          <w:tcPr>
            <w:tcW w:w="760" w:type="pct"/>
            <w:tcBorders>
              <w:left w:val="single" w:sz="8" w:space="0" w:color="7BA0CD" w:themeColor="accent1" w:themeTint="BF"/>
              <w:right w:val="single" w:sz="8" w:space="0" w:color="7BA0CD" w:themeColor="accent1" w:themeTint="BF"/>
            </w:tcBorders>
            <w:noWrap/>
            <w:vAlign w:val="center"/>
            <w:hideMark/>
          </w:tcPr>
          <w:p w14:paraId="70BDB66F" w14:textId="28021A31"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w:t>
            </w:r>
          </w:p>
        </w:tc>
        <w:tc>
          <w:tcPr>
            <w:tcW w:w="760" w:type="pct"/>
            <w:tcBorders>
              <w:left w:val="single" w:sz="8" w:space="0" w:color="7BA0CD" w:themeColor="accent1" w:themeTint="BF"/>
              <w:right w:val="single" w:sz="8" w:space="0" w:color="7BA0CD" w:themeColor="accent1" w:themeTint="BF"/>
            </w:tcBorders>
            <w:noWrap/>
            <w:vAlign w:val="center"/>
            <w:hideMark/>
          </w:tcPr>
          <w:p w14:paraId="390CBCEE" w14:textId="48AE94E5"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0%</w:t>
            </w:r>
          </w:p>
        </w:tc>
        <w:tc>
          <w:tcPr>
            <w:tcW w:w="762" w:type="pct"/>
            <w:tcBorders>
              <w:left w:val="single" w:sz="8" w:space="0" w:color="7BA0CD" w:themeColor="accent1" w:themeTint="BF"/>
            </w:tcBorders>
            <w:vAlign w:val="center"/>
          </w:tcPr>
          <w:p w14:paraId="38B8D300" w14:textId="1B272021"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0%</w:t>
            </w:r>
          </w:p>
        </w:tc>
      </w:tr>
      <w:tr w:rsidR="00E61E27" w:rsidRPr="00377B00" w14:paraId="131557F5" w14:textId="77777777" w:rsidTr="00E61E27">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3D12D665" w14:textId="77777777" w:rsidR="00E61E27" w:rsidRPr="002112E1" w:rsidRDefault="00E61E27" w:rsidP="00E9271C">
            <w:pPr>
              <w:pStyle w:val="Tablenormalleft"/>
              <w:jc w:val="left"/>
            </w:pPr>
            <w:r w:rsidRPr="002112E1">
              <w:t>56</w:t>
            </w:r>
          </w:p>
        </w:tc>
        <w:tc>
          <w:tcPr>
            <w:tcW w:w="2282" w:type="pct"/>
            <w:tcBorders>
              <w:left w:val="single" w:sz="8" w:space="0" w:color="7BA0CD" w:themeColor="accent1" w:themeTint="BF"/>
              <w:right w:val="single" w:sz="8" w:space="0" w:color="7BA0CD" w:themeColor="accent1" w:themeTint="BF"/>
            </w:tcBorders>
            <w:noWrap/>
            <w:vAlign w:val="center"/>
            <w:hideMark/>
          </w:tcPr>
          <w:p w14:paraId="16B7BC68"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Administrative and Support and Waste Management and Remediation Services</w:t>
            </w:r>
          </w:p>
        </w:tc>
        <w:tc>
          <w:tcPr>
            <w:tcW w:w="760" w:type="pct"/>
            <w:tcBorders>
              <w:left w:val="single" w:sz="8" w:space="0" w:color="7BA0CD" w:themeColor="accent1" w:themeTint="BF"/>
              <w:right w:val="single" w:sz="8" w:space="0" w:color="7BA0CD" w:themeColor="accent1" w:themeTint="BF"/>
            </w:tcBorders>
            <w:noWrap/>
            <w:vAlign w:val="center"/>
            <w:hideMark/>
          </w:tcPr>
          <w:p w14:paraId="21C3A1D9" w14:textId="5C2254FD"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6,615</w:t>
            </w:r>
          </w:p>
        </w:tc>
        <w:tc>
          <w:tcPr>
            <w:tcW w:w="760" w:type="pct"/>
            <w:tcBorders>
              <w:left w:val="single" w:sz="8" w:space="0" w:color="7BA0CD" w:themeColor="accent1" w:themeTint="BF"/>
              <w:right w:val="single" w:sz="8" w:space="0" w:color="7BA0CD" w:themeColor="accent1" w:themeTint="BF"/>
            </w:tcBorders>
            <w:noWrap/>
            <w:vAlign w:val="center"/>
            <w:hideMark/>
          </w:tcPr>
          <w:p w14:paraId="6924C0EB" w14:textId="65586ACF"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8%</w:t>
            </w:r>
          </w:p>
        </w:tc>
        <w:tc>
          <w:tcPr>
            <w:tcW w:w="762" w:type="pct"/>
            <w:tcBorders>
              <w:left w:val="single" w:sz="8" w:space="0" w:color="7BA0CD" w:themeColor="accent1" w:themeTint="BF"/>
            </w:tcBorders>
            <w:vAlign w:val="center"/>
          </w:tcPr>
          <w:p w14:paraId="4209F553" w14:textId="4B918A31"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8%</w:t>
            </w:r>
          </w:p>
        </w:tc>
      </w:tr>
      <w:tr w:rsidR="00E61E27" w:rsidRPr="00377B00" w14:paraId="4F17FFA9"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34DC0D93" w14:textId="77777777" w:rsidR="00E61E27" w:rsidRPr="002112E1" w:rsidRDefault="00E61E27" w:rsidP="00E9271C">
            <w:pPr>
              <w:pStyle w:val="Tablenormalleft"/>
              <w:jc w:val="left"/>
            </w:pPr>
            <w:r w:rsidRPr="002112E1">
              <w:t>61</w:t>
            </w:r>
          </w:p>
        </w:tc>
        <w:tc>
          <w:tcPr>
            <w:tcW w:w="2282" w:type="pct"/>
            <w:tcBorders>
              <w:left w:val="single" w:sz="8" w:space="0" w:color="7BA0CD" w:themeColor="accent1" w:themeTint="BF"/>
              <w:right w:val="single" w:sz="8" w:space="0" w:color="7BA0CD" w:themeColor="accent1" w:themeTint="BF"/>
            </w:tcBorders>
            <w:noWrap/>
            <w:vAlign w:val="center"/>
            <w:hideMark/>
          </w:tcPr>
          <w:p w14:paraId="79018363"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Educational Services (Private)</w:t>
            </w:r>
          </w:p>
        </w:tc>
        <w:tc>
          <w:tcPr>
            <w:tcW w:w="760" w:type="pct"/>
            <w:tcBorders>
              <w:left w:val="single" w:sz="8" w:space="0" w:color="7BA0CD" w:themeColor="accent1" w:themeTint="BF"/>
              <w:right w:val="single" w:sz="8" w:space="0" w:color="7BA0CD" w:themeColor="accent1" w:themeTint="BF"/>
            </w:tcBorders>
            <w:noWrap/>
            <w:vAlign w:val="center"/>
            <w:hideMark/>
          </w:tcPr>
          <w:p w14:paraId="4A1A55A4" w14:textId="705A5989"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619</w:t>
            </w:r>
          </w:p>
        </w:tc>
        <w:tc>
          <w:tcPr>
            <w:tcW w:w="760" w:type="pct"/>
            <w:tcBorders>
              <w:left w:val="single" w:sz="8" w:space="0" w:color="7BA0CD" w:themeColor="accent1" w:themeTint="BF"/>
              <w:right w:val="single" w:sz="8" w:space="0" w:color="7BA0CD" w:themeColor="accent1" w:themeTint="BF"/>
            </w:tcBorders>
            <w:noWrap/>
            <w:vAlign w:val="center"/>
            <w:hideMark/>
          </w:tcPr>
          <w:p w14:paraId="6F5444F9" w14:textId="42FAC399"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w:t>
            </w:r>
          </w:p>
        </w:tc>
        <w:tc>
          <w:tcPr>
            <w:tcW w:w="762" w:type="pct"/>
            <w:tcBorders>
              <w:left w:val="single" w:sz="8" w:space="0" w:color="7BA0CD" w:themeColor="accent1" w:themeTint="BF"/>
            </w:tcBorders>
            <w:vAlign w:val="center"/>
          </w:tcPr>
          <w:p w14:paraId="0EE700D7" w14:textId="7AB0D987"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2%</w:t>
            </w:r>
          </w:p>
        </w:tc>
      </w:tr>
      <w:tr w:rsidR="00E61E27" w:rsidRPr="00377B00" w14:paraId="4EB44331"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66B7E224" w14:textId="77777777" w:rsidR="00E61E27" w:rsidRPr="002112E1" w:rsidRDefault="00E61E27" w:rsidP="00E9271C">
            <w:pPr>
              <w:pStyle w:val="Tablenormalleft"/>
              <w:jc w:val="left"/>
            </w:pPr>
            <w:r w:rsidRPr="002112E1">
              <w:t>62</w:t>
            </w:r>
          </w:p>
        </w:tc>
        <w:tc>
          <w:tcPr>
            <w:tcW w:w="2282" w:type="pct"/>
            <w:tcBorders>
              <w:left w:val="single" w:sz="8" w:space="0" w:color="7BA0CD" w:themeColor="accent1" w:themeTint="BF"/>
              <w:right w:val="single" w:sz="8" w:space="0" w:color="7BA0CD" w:themeColor="accent1" w:themeTint="BF"/>
            </w:tcBorders>
            <w:noWrap/>
            <w:vAlign w:val="center"/>
            <w:hideMark/>
          </w:tcPr>
          <w:p w14:paraId="376B6090"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Health Care and Social Assistance</w:t>
            </w:r>
          </w:p>
        </w:tc>
        <w:tc>
          <w:tcPr>
            <w:tcW w:w="760" w:type="pct"/>
            <w:tcBorders>
              <w:left w:val="single" w:sz="8" w:space="0" w:color="7BA0CD" w:themeColor="accent1" w:themeTint="BF"/>
              <w:right w:val="single" w:sz="8" w:space="0" w:color="7BA0CD" w:themeColor="accent1" w:themeTint="BF"/>
            </w:tcBorders>
            <w:noWrap/>
            <w:vAlign w:val="center"/>
            <w:hideMark/>
          </w:tcPr>
          <w:p w14:paraId="2D6433DA" w14:textId="7E942EFA"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4,679</w:t>
            </w:r>
          </w:p>
        </w:tc>
        <w:tc>
          <w:tcPr>
            <w:tcW w:w="760" w:type="pct"/>
            <w:tcBorders>
              <w:left w:val="single" w:sz="8" w:space="0" w:color="7BA0CD" w:themeColor="accent1" w:themeTint="BF"/>
              <w:right w:val="single" w:sz="8" w:space="0" w:color="7BA0CD" w:themeColor="accent1" w:themeTint="BF"/>
            </w:tcBorders>
            <w:noWrap/>
            <w:vAlign w:val="center"/>
            <w:hideMark/>
          </w:tcPr>
          <w:p w14:paraId="78260D3B" w14:textId="1504A939"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5%</w:t>
            </w:r>
          </w:p>
        </w:tc>
        <w:tc>
          <w:tcPr>
            <w:tcW w:w="762" w:type="pct"/>
            <w:tcBorders>
              <w:left w:val="single" w:sz="8" w:space="0" w:color="7BA0CD" w:themeColor="accent1" w:themeTint="BF"/>
            </w:tcBorders>
            <w:vAlign w:val="center"/>
          </w:tcPr>
          <w:p w14:paraId="66D684DF" w14:textId="04521A39"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7%</w:t>
            </w:r>
          </w:p>
        </w:tc>
      </w:tr>
      <w:tr w:rsidR="00E61E27" w:rsidRPr="00377B00" w14:paraId="675B9B20"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74828304" w14:textId="77777777" w:rsidR="00E61E27" w:rsidRPr="002112E1" w:rsidRDefault="00E61E27" w:rsidP="00E9271C">
            <w:pPr>
              <w:pStyle w:val="Tablenormalleft"/>
              <w:jc w:val="left"/>
            </w:pPr>
            <w:r w:rsidRPr="002112E1">
              <w:t>71</w:t>
            </w:r>
          </w:p>
        </w:tc>
        <w:tc>
          <w:tcPr>
            <w:tcW w:w="2282" w:type="pct"/>
            <w:tcBorders>
              <w:left w:val="single" w:sz="8" w:space="0" w:color="7BA0CD" w:themeColor="accent1" w:themeTint="BF"/>
              <w:right w:val="single" w:sz="8" w:space="0" w:color="7BA0CD" w:themeColor="accent1" w:themeTint="BF"/>
            </w:tcBorders>
            <w:noWrap/>
            <w:vAlign w:val="center"/>
            <w:hideMark/>
          </w:tcPr>
          <w:p w14:paraId="4DE936F3"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Arts, Entertainment, and Recreation</w:t>
            </w:r>
          </w:p>
        </w:tc>
        <w:tc>
          <w:tcPr>
            <w:tcW w:w="760" w:type="pct"/>
            <w:tcBorders>
              <w:left w:val="single" w:sz="8" w:space="0" w:color="7BA0CD" w:themeColor="accent1" w:themeTint="BF"/>
              <w:right w:val="single" w:sz="8" w:space="0" w:color="7BA0CD" w:themeColor="accent1" w:themeTint="BF"/>
            </w:tcBorders>
            <w:noWrap/>
            <w:vAlign w:val="center"/>
            <w:hideMark/>
          </w:tcPr>
          <w:p w14:paraId="06EDE3EB" w14:textId="252A48AF"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734</w:t>
            </w:r>
          </w:p>
        </w:tc>
        <w:tc>
          <w:tcPr>
            <w:tcW w:w="760" w:type="pct"/>
            <w:tcBorders>
              <w:left w:val="single" w:sz="8" w:space="0" w:color="7BA0CD" w:themeColor="accent1" w:themeTint="BF"/>
              <w:right w:val="single" w:sz="8" w:space="0" w:color="7BA0CD" w:themeColor="accent1" w:themeTint="BF"/>
            </w:tcBorders>
            <w:noWrap/>
            <w:vAlign w:val="center"/>
            <w:hideMark/>
          </w:tcPr>
          <w:p w14:paraId="6F4D6777" w14:textId="5DFD56E9"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w:t>
            </w:r>
          </w:p>
        </w:tc>
        <w:tc>
          <w:tcPr>
            <w:tcW w:w="762" w:type="pct"/>
            <w:tcBorders>
              <w:left w:val="single" w:sz="8" w:space="0" w:color="7BA0CD" w:themeColor="accent1" w:themeTint="BF"/>
            </w:tcBorders>
            <w:vAlign w:val="center"/>
          </w:tcPr>
          <w:p w14:paraId="078729CF" w14:textId="5FF1C697"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2%</w:t>
            </w:r>
          </w:p>
        </w:tc>
      </w:tr>
      <w:tr w:rsidR="00E61E27" w:rsidRPr="00377B00" w14:paraId="220178E4"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405B0BEB" w14:textId="77777777" w:rsidR="00E61E27" w:rsidRPr="002112E1" w:rsidRDefault="00E61E27" w:rsidP="00E9271C">
            <w:pPr>
              <w:pStyle w:val="Tablenormalleft"/>
              <w:jc w:val="left"/>
            </w:pPr>
            <w:r w:rsidRPr="002112E1">
              <w:t>72</w:t>
            </w:r>
          </w:p>
        </w:tc>
        <w:tc>
          <w:tcPr>
            <w:tcW w:w="2282" w:type="pct"/>
            <w:tcBorders>
              <w:left w:val="single" w:sz="8" w:space="0" w:color="7BA0CD" w:themeColor="accent1" w:themeTint="BF"/>
              <w:right w:val="single" w:sz="8" w:space="0" w:color="7BA0CD" w:themeColor="accent1" w:themeTint="BF"/>
            </w:tcBorders>
            <w:noWrap/>
            <w:vAlign w:val="center"/>
            <w:hideMark/>
          </w:tcPr>
          <w:p w14:paraId="7FE5026B" w14:textId="01996493"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t>Accommodation</w:t>
            </w:r>
            <w:r w:rsidRPr="002112E1">
              <w:t xml:space="preserve"> and Food Services</w:t>
            </w:r>
          </w:p>
        </w:tc>
        <w:tc>
          <w:tcPr>
            <w:tcW w:w="760" w:type="pct"/>
            <w:tcBorders>
              <w:left w:val="single" w:sz="8" w:space="0" w:color="7BA0CD" w:themeColor="accent1" w:themeTint="BF"/>
              <w:right w:val="single" w:sz="8" w:space="0" w:color="7BA0CD" w:themeColor="accent1" w:themeTint="BF"/>
            </w:tcBorders>
            <w:noWrap/>
            <w:vAlign w:val="center"/>
            <w:hideMark/>
          </w:tcPr>
          <w:p w14:paraId="0F9AD117" w14:textId="10B8E391"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4,289</w:t>
            </w:r>
          </w:p>
        </w:tc>
        <w:tc>
          <w:tcPr>
            <w:tcW w:w="760" w:type="pct"/>
            <w:tcBorders>
              <w:left w:val="single" w:sz="8" w:space="0" w:color="7BA0CD" w:themeColor="accent1" w:themeTint="BF"/>
              <w:right w:val="single" w:sz="8" w:space="0" w:color="7BA0CD" w:themeColor="accent1" w:themeTint="BF"/>
            </w:tcBorders>
            <w:noWrap/>
            <w:vAlign w:val="center"/>
            <w:hideMark/>
          </w:tcPr>
          <w:p w14:paraId="41540964" w14:textId="12AF4390"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5%</w:t>
            </w:r>
          </w:p>
        </w:tc>
        <w:tc>
          <w:tcPr>
            <w:tcW w:w="762" w:type="pct"/>
            <w:tcBorders>
              <w:left w:val="single" w:sz="8" w:space="0" w:color="7BA0CD" w:themeColor="accent1" w:themeTint="BF"/>
            </w:tcBorders>
            <w:vAlign w:val="center"/>
          </w:tcPr>
          <w:p w14:paraId="4FF91758" w14:textId="6067C1AA"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9%</w:t>
            </w:r>
          </w:p>
        </w:tc>
      </w:tr>
      <w:tr w:rsidR="00E61E27" w:rsidRPr="00377B00" w14:paraId="4D2239DB"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2D878837" w14:textId="77777777" w:rsidR="00E61E27" w:rsidRPr="002112E1" w:rsidRDefault="00E61E27" w:rsidP="00E9271C">
            <w:pPr>
              <w:pStyle w:val="Tablenormalleft"/>
              <w:jc w:val="left"/>
            </w:pPr>
            <w:r w:rsidRPr="002112E1">
              <w:t>81</w:t>
            </w:r>
          </w:p>
        </w:tc>
        <w:tc>
          <w:tcPr>
            <w:tcW w:w="2282" w:type="pct"/>
            <w:tcBorders>
              <w:left w:val="single" w:sz="8" w:space="0" w:color="7BA0CD" w:themeColor="accent1" w:themeTint="BF"/>
              <w:right w:val="single" w:sz="8" w:space="0" w:color="7BA0CD" w:themeColor="accent1" w:themeTint="BF"/>
            </w:tcBorders>
            <w:noWrap/>
            <w:vAlign w:val="center"/>
            <w:hideMark/>
          </w:tcPr>
          <w:p w14:paraId="43816119"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Other Services (except Public Administration)</w:t>
            </w:r>
          </w:p>
        </w:tc>
        <w:tc>
          <w:tcPr>
            <w:tcW w:w="760" w:type="pct"/>
            <w:tcBorders>
              <w:left w:val="single" w:sz="8" w:space="0" w:color="7BA0CD" w:themeColor="accent1" w:themeTint="BF"/>
              <w:right w:val="single" w:sz="8" w:space="0" w:color="7BA0CD" w:themeColor="accent1" w:themeTint="BF"/>
            </w:tcBorders>
            <w:noWrap/>
            <w:vAlign w:val="center"/>
            <w:hideMark/>
          </w:tcPr>
          <w:p w14:paraId="5576E1FC" w14:textId="1DFB91DD"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2,981</w:t>
            </w:r>
          </w:p>
        </w:tc>
        <w:tc>
          <w:tcPr>
            <w:tcW w:w="760" w:type="pct"/>
            <w:tcBorders>
              <w:left w:val="single" w:sz="8" w:space="0" w:color="7BA0CD" w:themeColor="accent1" w:themeTint="BF"/>
              <w:right w:val="single" w:sz="8" w:space="0" w:color="7BA0CD" w:themeColor="accent1" w:themeTint="BF"/>
            </w:tcBorders>
            <w:noWrap/>
            <w:vAlign w:val="center"/>
            <w:hideMark/>
          </w:tcPr>
          <w:p w14:paraId="4CC85B96" w14:textId="3C07C945"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3%</w:t>
            </w:r>
          </w:p>
        </w:tc>
        <w:tc>
          <w:tcPr>
            <w:tcW w:w="762" w:type="pct"/>
            <w:tcBorders>
              <w:left w:val="single" w:sz="8" w:space="0" w:color="7BA0CD" w:themeColor="accent1" w:themeTint="BF"/>
            </w:tcBorders>
            <w:vAlign w:val="center"/>
          </w:tcPr>
          <w:p w14:paraId="3D6E5791" w14:textId="73CB3D20"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4%</w:t>
            </w:r>
          </w:p>
        </w:tc>
      </w:tr>
      <w:tr w:rsidR="00E61E27" w:rsidRPr="00377B00" w14:paraId="33888174" w14:textId="77777777" w:rsidTr="00E61E27">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right w:val="single" w:sz="8" w:space="0" w:color="7BA0CD" w:themeColor="accent1" w:themeTint="BF"/>
            </w:tcBorders>
            <w:noWrap/>
            <w:vAlign w:val="center"/>
            <w:hideMark/>
          </w:tcPr>
          <w:p w14:paraId="35125AC7" w14:textId="77777777" w:rsidR="00E61E27" w:rsidRPr="002112E1" w:rsidRDefault="00E61E27" w:rsidP="00E9271C">
            <w:pPr>
              <w:pStyle w:val="Tablenormalleft"/>
              <w:jc w:val="left"/>
            </w:pPr>
            <w:r w:rsidRPr="002112E1">
              <w:t>90</w:t>
            </w:r>
          </w:p>
        </w:tc>
        <w:tc>
          <w:tcPr>
            <w:tcW w:w="2282" w:type="pct"/>
            <w:tcBorders>
              <w:left w:val="single" w:sz="8" w:space="0" w:color="7BA0CD" w:themeColor="accent1" w:themeTint="BF"/>
              <w:right w:val="single" w:sz="8" w:space="0" w:color="7BA0CD" w:themeColor="accent1" w:themeTint="BF"/>
            </w:tcBorders>
            <w:noWrap/>
            <w:vAlign w:val="center"/>
            <w:hideMark/>
          </w:tcPr>
          <w:p w14:paraId="1C31646E" w14:textId="77777777" w:rsidR="00E61E27" w:rsidRPr="002112E1" w:rsidRDefault="00E61E27" w:rsidP="00E9271C">
            <w:pPr>
              <w:pStyle w:val="Tablenormalleft"/>
              <w:jc w:val="left"/>
              <w:cnfStyle w:val="000000100000" w:firstRow="0" w:lastRow="0" w:firstColumn="0" w:lastColumn="0" w:oddVBand="0" w:evenVBand="0" w:oddHBand="1" w:evenHBand="0" w:firstRowFirstColumn="0" w:firstRowLastColumn="0" w:lastRowFirstColumn="0" w:lastRowLastColumn="0"/>
            </w:pPr>
            <w:r w:rsidRPr="002112E1">
              <w:t>Government</w:t>
            </w:r>
          </w:p>
        </w:tc>
        <w:tc>
          <w:tcPr>
            <w:tcW w:w="760" w:type="pct"/>
            <w:tcBorders>
              <w:left w:val="single" w:sz="8" w:space="0" w:color="7BA0CD" w:themeColor="accent1" w:themeTint="BF"/>
              <w:right w:val="single" w:sz="8" w:space="0" w:color="7BA0CD" w:themeColor="accent1" w:themeTint="BF"/>
            </w:tcBorders>
            <w:noWrap/>
            <w:vAlign w:val="center"/>
            <w:hideMark/>
          </w:tcPr>
          <w:p w14:paraId="2DE68529" w14:textId="3C1598C4"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3,577</w:t>
            </w:r>
          </w:p>
        </w:tc>
        <w:tc>
          <w:tcPr>
            <w:tcW w:w="760" w:type="pct"/>
            <w:tcBorders>
              <w:left w:val="single" w:sz="8" w:space="0" w:color="7BA0CD" w:themeColor="accent1" w:themeTint="BF"/>
              <w:right w:val="single" w:sz="8" w:space="0" w:color="7BA0CD" w:themeColor="accent1" w:themeTint="BF"/>
            </w:tcBorders>
            <w:noWrap/>
            <w:vAlign w:val="center"/>
            <w:hideMark/>
          </w:tcPr>
          <w:p w14:paraId="7F8F4E62" w14:textId="411C264B"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5178BE">
              <w:t>4%</w:t>
            </w:r>
          </w:p>
        </w:tc>
        <w:tc>
          <w:tcPr>
            <w:tcW w:w="762" w:type="pct"/>
            <w:tcBorders>
              <w:left w:val="single" w:sz="8" w:space="0" w:color="7BA0CD" w:themeColor="accent1" w:themeTint="BF"/>
            </w:tcBorders>
            <w:vAlign w:val="center"/>
          </w:tcPr>
          <w:p w14:paraId="37BEF34C" w14:textId="064B47C1" w:rsidR="00E61E27" w:rsidRPr="00DB5E3D" w:rsidRDefault="00E61E27" w:rsidP="00E61E27">
            <w:pPr>
              <w:pStyle w:val="Tablenormalright"/>
              <w:cnfStyle w:val="000000100000" w:firstRow="0" w:lastRow="0" w:firstColumn="0" w:lastColumn="0" w:oddVBand="0" w:evenVBand="0" w:oddHBand="1" w:evenHBand="0" w:firstRowFirstColumn="0" w:firstRowLastColumn="0" w:lastRowFirstColumn="0" w:lastRowLastColumn="0"/>
            </w:pPr>
            <w:r w:rsidRPr="00C32C8D">
              <w:t>7%</w:t>
            </w:r>
          </w:p>
        </w:tc>
      </w:tr>
      <w:tr w:rsidR="00E61E27" w:rsidRPr="00377B00" w14:paraId="5846614C" w14:textId="77777777" w:rsidTr="00E61E27">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36" w:type="pct"/>
            <w:tcBorders>
              <w:bottom w:val="single" w:sz="8" w:space="0" w:color="7BA0CD" w:themeColor="accent1" w:themeTint="BF"/>
              <w:right w:val="single" w:sz="8" w:space="0" w:color="7BA0CD" w:themeColor="accent1" w:themeTint="BF"/>
            </w:tcBorders>
            <w:noWrap/>
            <w:vAlign w:val="center"/>
          </w:tcPr>
          <w:p w14:paraId="16DB06A0" w14:textId="77777777" w:rsidR="00E61E27" w:rsidRPr="002112E1" w:rsidRDefault="00E61E27" w:rsidP="00E9271C">
            <w:pPr>
              <w:pStyle w:val="Tablenormalleft"/>
              <w:jc w:val="left"/>
            </w:pPr>
            <w:r w:rsidRPr="002112E1">
              <w:t>99</w:t>
            </w:r>
          </w:p>
        </w:tc>
        <w:tc>
          <w:tcPr>
            <w:tcW w:w="2282" w:type="pct"/>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B99E68A" w14:textId="77777777" w:rsidR="00E61E27" w:rsidRPr="002112E1" w:rsidRDefault="00E61E27" w:rsidP="00E9271C">
            <w:pPr>
              <w:pStyle w:val="Tablenormalleft"/>
              <w:jc w:val="left"/>
              <w:cnfStyle w:val="000000010000" w:firstRow="0" w:lastRow="0" w:firstColumn="0" w:lastColumn="0" w:oddVBand="0" w:evenVBand="0" w:oddHBand="0" w:evenHBand="1" w:firstRowFirstColumn="0" w:firstRowLastColumn="0" w:lastRowFirstColumn="0" w:lastRowLastColumn="0"/>
            </w:pPr>
            <w:r w:rsidRPr="002112E1">
              <w:t>No Previous Work Experience/Unspecified</w:t>
            </w:r>
          </w:p>
        </w:tc>
        <w:tc>
          <w:tcPr>
            <w:tcW w:w="760" w:type="pct"/>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A2E21BD" w14:textId="46E99418"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15,312</w:t>
            </w:r>
          </w:p>
        </w:tc>
        <w:tc>
          <w:tcPr>
            <w:tcW w:w="760" w:type="pct"/>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6D10ED4" w14:textId="6F90BC83"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5178BE">
              <w:t>18%</w:t>
            </w:r>
          </w:p>
        </w:tc>
        <w:tc>
          <w:tcPr>
            <w:tcW w:w="762" w:type="pct"/>
            <w:tcBorders>
              <w:left w:val="single" w:sz="8" w:space="0" w:color="7BA0CD" w:themeColor="accent1" w:themeTint="BF"/>
              <w:bottom w:val="single" w:sz="8" w:space="0" w:color="7BA0CD" w:themeColor="accent1" w:themeTint="BF"/>
            </w:tcBorders>
            <w:vAlign w:val="center"/>
          </w:tcPr>
          <w:p w14:paraId="3D329336" w14:textId="3894E6E3" w:rsidR="00E61E27" w:rsidRPr="00DB5E3D" w:rsidRDefault="00E61E27" w:rsidP="00E61E27">
            <w:pPr>
              <w:pStyle w:val="Tablenormalright"/>
              <w:cnfStyle w:val="000000010000" w:firstRow="0" w:lastRow="0" w:firstColumn="0" w:lastColumn="0" w:oddVBand="0" w:evenVBand="0" w:oddHBand="0" w:evenHBand="1" w:firstRowFirstColumn="0" w:firstRowLastColumn="0" w:lastRowFirstColumn="0" w:lastRowLastColumn="0"/>
            </w:pPr>
            <w:r w:rsidRPr="00C32C8D">
              <w:t>15%</w:t>
            </w:r>
          </w:p>
        </w:tc>
      </w:tr>
      <w:tr w:rsidR="002112E1" w:rsidRPr="00377B00" w14:paraId="311E30D6" w14:textId="77777777" w:rsidTr="004C1209">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nil"/>
              <w:bottom w:val="nil"/>
              <w:right w:val="nil"/>
            </w:tcBorders>
            <w:shd w:val="clear" w:color="auto" w:fill="auto"/>
            <w:noWrap/>
          </w:tcPr>
          <w:p w14:paraId="1F0F82EB" w14:textId="17FE62D7" w:rsidR="002112E1" w:rsidRPr="00A07E93" w:rsidRDefault="002112E1" w:rsidP="00694BAB">
            <w:pPr>
              <w:pStyle w:val="Tablefooterlastline"/>
              <w:rPr>
                <w:rFonts w:ascii="Calibri" w:hAnsi="Calibri"/>
                <w:szCs w:val="18"/>
              </w:rPr>
            </w:pPr>
            <w:r w:rsidRPr="00A07E93">
              <w:t>Sou</w:t>
            </w:r>
            <w:r w:rsidR="006C38C7">
              <w:t>rc</w:t>
            </w:r>
            <w:r w:rsidRPr="00A07E93">
              <w:t>e: EMSI Total Unemployment (</w:t>
            </w:r>
            <w:r w:rsidR="00694BAB">
              <w:t>5</w:t>
            </w:r>
            <w:r w:rsidRPr="00A07E93">
              <w:t>/2014)</w:t>
            </w:r>
          </w:p>
        </w:tc>
      </w:tr>
    </w:tbl>
    <w:p w14:paraId="49AC4292" w14:textId="7804C3AB" w:rsidR="00695478" w:rsidRDefault="00525D5C" w:rsidP="00384961">
      <w:r w:rsidRPr="008E0427">
        <w:t xml:space="preserve">As shown in </w:t>
      </w:r>
      <w:r w:rsidR="0093569D">
        <w:t>Table 1.6</w:t>
      </w:r>
      <w:r w:rsidRPr="008E0427">
        <w:t xml:space="preserve">, the category with </w:t>
      </w:r>
      <w:r w:rsidR="0064223A">
        <w:t xml:space="preserve">the highest number of unemployed is </w:t>
      </w:r>
      <w:r w:rsidR="00930235">
        <w:t>in</w:t>
      </w:r>
      <w:r w:rsidR="00E61E27">
        <w:t xml:space="preserve"> Agriculture, Forestry, Fishing, &amp; Hunting. </w:t>
      </w:r>
      <w:r w:rsidR="0064223A">
        <w:t>T</w:t>
      </w:r>
      <w:r w:rsidR="00E03523" w:rsidRPr="008E0427">
        <w:t>he</w:t>
      </w:r>
      <w:r w:rsidR="0064223A">
        <w:t xml:space="preserve"> second</w:t>
      </w:r>
      <w:r w:rsidR="00E03523" w:rsidRPr="008E0427">
        <w:t xml:space="preserve"> </w:t>
      </w:r>
      <w:r w:rsidR="00DA3300">
        <w:t xml:space="preserve">highest number of unemployed is </w:t>
      </w:r>
      <w:r w:rsidR="002941A6">
        <w:t>in</w:t>
      </w:r>
      <w:r w:rsidR="00E61E27" w:rsidRPr="00E61E27">
        <w:t xml:space="preserve"> </w:t>
      </w:r>
      <w:r w:rsidR="00E61E27">
        <w:t xml:space="preserve">a </w:t>
      </w:r>
      <w:r w:rsidR="00E61E27" w:rsidRPr="008E0427">
        <w:t>non-industry labeled a</w:t>
      </w:r>
      <w:r w:rsidR="00E61E27">
        <w:t>s</w:t>
      </w:r>
      <w:r w:rsidR="00E61E27" w:rsidRPr="008E0427">
        <w:t xml:space="preserve"> </w:t>
      </w:r>
      <w:r w:rsidR="00E61E27">
        <w:t>“No Previous Work Experience/Unspecified.”</w:t>
      </w:r>
      <w:r w:rsidR="00E61E27" w:rsidRPr="008E0427">
        <w:t xml:space="preserve"> This is simply a catch-all category for which reliable unemployment data are unavailable</w:t>
      </w:r>
      <w:r w:rsidR="00E61E27">
        <w:t>.</w:t>
      </w:r>
      <w:r w:rsidR="00930235">
        <w:t xml:space="preserve"> </w:t>
      </w:r>
      <w:r w:rsidR="000A2830">
        <w:t xml:space="preserve">The </w:t>
      </w:r>
      <w:r w:rsidR="001D310E">
        <w:t xml:space="preserve">Retail Trade </w:t>
      </w:r>
      <w:r w:rsidR="004676D4">
        <w:t>s</w:t>
      </w:r>
      <w:r w:rsidR="000A2830">
        <w:t xml:space="preserve">ector has the </w:t>
      </w:r>
      <w:r w:rsidR="0064223A">
        <w:t>third</w:t>
      </w:r>
      <w:r w:rsidR="000A2830">
        <w:t xml:space="preserve"> highest number of unemployed. </w:t>
      </w:r>
      <w:r w:rsidR="000A2830" w:rsidRPr="008E0427">
        <w:t>It is common for industr</w:t>
      </w:r>
      <w:r w:rsidR="00353ABC">
        <w:t>ies</w:t>
      </w:r>
      <w:r w:rsidR="000A2830" w:rsidRPr="008E0427">
        <w:t xml:space="preserve"> like </w:t>
      </w:r>
      <w:r w:rsidR="00353ABC">
        <w:t xml:space="preserve">Retail Trade and </w:t>
      </w:r>
      <w:r w:rsidR="00EF7846" w:rsidRPr="008E0427">
        <w:t>Administrative &amp; Support &amp; Waste Management &amp; Remediation Services</w:t>
      </w:r>
      <w:r w:rsidR="00EF7846">
        <w:t xml:space="preserve"> </w:t>
      </w:r>
      <w:r w:rsidR="000A2830" w:rsidRPr="008E0427">
        <w:t>to have a high pe</w:t>
      </w:r>
      <w:r w:rsidR="006C38C7">
        <w:t>rc</w:t>
      </w:r>
      <w:r w:rsidR="000A2830" w:rsidRPr="008E0427">
        <w:t>entage of low-skill jobs that require little to no education and training, thus making them more vulnerable to worker turnover</w:t>
      </w:r>
      <w:r w:rsidR="000A2830">
        <w:t xml:space="preserve">. </w:t>
      </w:r>
      <w:r w:rsidR="00EF7846">
        <w:t>Another</w:t>
      </w:r>
      <w:r w:rsidR="00EF7846" w:rsidRPr="008E0427">
        <w:t xml:space="preserve"> sector that </w:t>
      </w:r>
      <w:r w:rsidR="00EF7846">
        <w:t>is</w:t>
      </w:r>
      <w:r w:rsidR="00EF7846" w:rsidRPr="008E0427">
        <w:t xml:space="preserve"> generally affected by high turnover </w:t>
      </w:r>
      <w:r w:rsidR="00EF7846">
        <w:t>is</w:t>
      </w:r>
      <w:r w:rsidR="00EF7846" w:rsidRPr="00EF7846">
        <w:t xml:space="preserve"> </w:t>
      </w:r>
      <w:r w:rsidR="00EF7846">
        <w:t>Accommodation &amp; Food Services</w:t>
      </w:r>
      <w:r w:rsidR="00EF7846" w:rsidRPr="008E0427">
        <w:t xml:space="preserve">. </w:t>
      </w:r>
      <w:r w:rsidR="00E03523" w:rsidRPr="008E0427">
        <w:t>For industry sectors such as Construction, seasonal jobs or jobs of short duration may also lead to high numbers of unemployed workers.</w:t>
      </w:r>
      <w:r w:rsidRPr="008E0427">
        <w:t xml:space="preserve"> </w:t>
      </w:r>
    </w:p>
    <w:p w14:paraId="4D034943" w14:textId="088D8641" w:rsidR="00384961" w:rsidRDefault="0093569D" w:rsidP="00384961">
      <w:r>
        <w:t xml:space="preserve">Only </w:t>
      </w:r>
      <w:r w:rsidR="001D310E">
        <w:t xml:space="preserve">two </w:t>
      </w:r>
      <w:r>
        <w:t xml:space="preserve">industry sectors in the </w:t>
      </w:r>
      <w:r w:rsidR="006C38C7">
        <w:t>CCC</w:t>
      </w:r>
      <w:r>
        <w:t xml:space="preserve"> </w:t>
      </w:r>
      <w:r w:rsidR="00B101E7">
        <w:t>Economic Region</w:t>
      </w:r>
      <w:r>
        <w:t xml:space="preserve"> exceed the national concentration of unemployed workers. </w:t>
      </w:r>
      <w:r w:rsidR="00FF0462" w:rsidRPr="008E0427">
        <w:t xml:space="preserve">In the </w:t>
      </w:r>
      <w:r w:rsidR="006C38C7">
        <w:t>CCC</w:t>
      </w:r>
      <w:r w:rsidR="00FF0462" w:rsidRPr="008E0427">
        <w:t xml:space="preserve"> </w:t>
      </w:r>
      <w:r w:rsidR="00B101E7">
        <w:t>Economic Region</w:t>
      </w:r>
      <w:r w:rsidR="000A2830">
        <w:t>,</w:t>
      </w:r>
      <w:r>
        <w:t xml:space="preserve"> </w:t>
      </w:r>
      <w:r w:rsidR="001D310E">
        <w:t xml:space="preserve">Agriculture, Forestry, Fishing, &amp; Hunting </w:t>
      </w:r>
      <w:r w:rsidR="00F67223">
        <w:t xml:space="preserve">and </w:t>
      </w:r>
      <w:r w:rsidR="001D310E">
        <w:t xml:space="preserve">No Previous Work Experience/Unspecified </w:t>
      </w:r>
      <w:r w:rsidR="0064223A">
        <w:t>have</w:t>
      </w:r>
      <w:r w:rsidR="000A2830">
        <w:t xml:space="preserve"> a </w:t>
      </w:r>
      <w:r w:rsidR="00AE5839">
        <w:t xml:space="preserve">much </w:t>
      </w:r>
      <w:r w:rsidR="000A2830">
        <w:t xml:space="preserve">higher </w:t>
      </w:r>
      <w:r w:rsidR="0074249C">
        <w:t>proportion</w:t>
      </w:r>
      <w:r w:rsidR="00FF0462" w:rsidRPr="008E0427">
        <w:t xml:space="preserve"> of unemploy</w:t>
      </w:r>
      <w:r w:rsidR="0074249C">
        <w:t>ed workers</w:t>
      </w:r>
      <w:r w:rsidR="00FF0462" w:rsidRPr="008E0427">
        <w:t xml:space="preserve"> than at the national level.</w:t>
      </w:r>
      <w:r w:rsidR="00BD55E4" w:rsidRPr="008E0427">
        <w:t xml:space="preserve"> </w:t>
      </w:r>
      <w:r w:rsidR="0074249C">
        <w:t xml:space="preserve">On the other hand, </w:t>
      </w:r>
      <w:r w:rsidR="001D310E">
        <w:t xml:space="preserve">Accommodation &amp; Food Services </w:t>
      </w:r>
      <w:r w:rsidR="00F67223">
        <w:t xml:space="preserve">and </w:t>
      </w:r>
      <w:r w:rsidR="001D310E">
        <w:t>Construction</w:t>
      </w:r>
      <w:r w:rsidR="00353ABC">
        <w:t xml:space="preserve"> </w:t>
      </w:r>
      <w:r w:rsidR="001D310E">
        <w:t xml:space="preserve">actually </w:t>
      </w:r>
      <w:r w:rsidR="00353ABC">
        <w:t>have a lower p</w:t>
      </w:r>
      <w:r w:rsidR="0074249C">
        <w:t>roportion</w:t>
      </w:r>
      <w:r w:rsidR="00353ABC">
        <w:t xml:space="preserve"> of </w:t>
      </w:r>
      <w:r w:rsidR="0074249C">
        <w:t>unemployed workers than at the national level</w:t>
      </w:r>
      <w:r w:rsidR="001D310E">
        <w:t xml:space="preserve"> in the </w:t>
      </w:r>
      <w:r w:rsidR="006C38C7">
        <w:t>CCC</w:t>
      </w:r>
      <w:r w:rsidR="001D310E">
        <w:t xml:space="preserve"> </w:t>
      </w:r>
      <w:r w:rsidR="00B101E7">
        <w:t>Economic Region</w:t>
      </w:r>
      <w:r w:rsidR="001D310E">
        <w:t>.</w:t>
      </w:r>
    </w:p>
    <w:p w14:paraId="2DC5A72E" w14:textId="72BEF5E6" w:rsidR="00BD55E4" w:rsidRDefault="00BD55E4" w:rsidP="00E067A0">
      <w:pPr>
        <w:pStyle w:val="FigureTitle"/>
        <w:keepNext/>
      </w:pPr>
      <w:r>
        <w:lastRenderedPageBreak/>
        <w:t>F</w:t>
      </w:r>
      <w:r w:rsidRPr="006F299A">
        <w:t xml:space="preserve">igure </w:t>
      </w:r>
      <w:r w:rsidR="00A30445">
        <w:t>1.</w:t>
      </w:r>
      <w:r w:rsidR="009C0059">
        <w:t>7</w:t>
      </w:r>
      <w:r w:rsidRPr="006F299A">
        <w:t xml:space="preserve">: </w:t>
      </w:r>
      <w:r>
        <w:t xml:space="preserve">Number of Unemployed Workers by Industry Sector in </w:t>
      </w:r>
      <w:r w:rsidR="006C38C7">
        <w:t>CCC</w:t>
      </w:r>
      <w:r>
        <w:t xml:space="preserve"> </w:t>
      </w:r>
      <w:r w:rsidR="00B101E7">
        <w:t>Economic Region</w:t>
      </w:r>
    </w:p>
    <w:p w14:paraId="12AB58FE" w14:textId="038A15A4" w:rsidR="00BD55E4" w:rsidRDefault="001D310E" w:rsidP="00BD55E4">
      <w:r>
        <w:rPr>
          <w:noProof/>
        </w:rPr>
        <w:drawing>
          <wp:inline distT="0" distB="0" distL="0" distR="0" wp14:anchorId="636CE6A1" wp14:editId="5F2A16AE">
            <wp:extent cx="5934075" cy="47434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B74D9D" w14:textId="5D8CD20D" w:rsidR="00F67223" w:rsidRDefault="0064030A" w:rsidP="00F67223">
      <w:pPr>
        <w:pStyle w:val="Tablefooterlastline"/>
        <w:jc w:val="right"/>
      </w:pPr>
      <w:r>
        <w:t>Sou</w:t>
      </w:r>
      <w:r w:rsidR="006C38C7">
        <w:t>rc</w:t>
      </w:r>
      <w:r>
        <w:t>e: EMSI Total Unemployment (</w:t>
      </w:r>
      <w:r w:rsidR="00B13C13">
        <w:t>5</w:t>
      </w:r>
      <w:r w:rsidR="00F67223">
        <w:t>/2014)</w:t>
      </w:r>
    </w:p>
    <w:p w14:paraId="2F909F17" w14:textId="682066D6" w:rsidR="002408B0" w:rsidRPr="00CD6954" w:rsidRDefault="002112E1" w:rsidP="004A4F48">
      <w:r>
        <w:t xml:space="preserve">Table </w:t>
      </w:r>
      <w:r w:rsidR="00A30445">
        <w:t>1.</w:t>
      </w:r>
      <w:r>
        <w:t xml:space="preserve">7 and Figure </w:t>
      </w:r>
      <w:r w:rsidR="00A30445">
        <w:t>1.</w:t>
      </w:r>
      <w:r w:rsidR="009C0059">
        <w:t>8</w:t>
      </w:r>
      <w:r w:rsidRPr="005765A7">
        <w:t xml:space="preserve"> provide a breakdown </w:t>
      </w:r>
      <w:r w:rsidR="00396CD0">
        <w:t xml:space="preserve">of unemployment in the </w:t>
      </w:r>
      <w:r w:rsidR="006C38C7">
        <w:t>CCC</w:t>
      </w:r>
      <w:r w:rsidR="00396CD0">
        <w:t xml:space="preserve"> </w:t>
      </w:r>
      <w:r w:rsidR="00B101E7">
        <w:t>Economic Region</w:t>
      </w:r>
      <w:r w:rsidR="00396CD0">
        <w:t xml:space="preserve"> </w:t>
      </w:r>
      <w:r w:rsidRPr="005765A7">
        <w:t xml:space="preserve">by </w:t>
      </w:r>
      <w:r>
        <w:t>major occupation group</w:t>
      </w:r>
      <w:r w:rsidRPr="005765A7">
        <w:t>.</w:t>
      </w:r>
      <w:r>
        <w:t xml:space="preserve"> A</w:t>
      </w:r>
      <w:r w:rsidR="00E54676">
        <w:t>s shown, occupation</w:t>
      </w:r>
      <w:r w:rsidR="00695478">
        <w:t>al</w:t>
      </w:r>
      <w:r>
        <w:t xml:space="preserve"> groups</w:t>
      </w:r>
      <w:r w:rsidR="00E54676">
        <w:t xml:space="preserve"> that contain</w:t>
      </w:r>
      <w:r w:rsidR="00396CD0">
        <w:t xml:space="preserve"> the</w:t>
      </w:r>
      <w:r w:rsidR="00E54676">
        <w:t xml:space="preserve"> high</w:t>
      </w:r>
      <w:r w:rsidR="00396CD0">
        <w:t>est</w:t>
      </w:r>
      <w:r w:rsidR="00E54676">
        <w:t xml:space="preserve"> </w:t>
      </w:r>
      <w:r w:rsidR="00396CD0">
        <w:t xml:space="preserve">number of unemployed workers </w:t>
      </w:r>
      <w:r>
        <w:t>are</w:t>
      </w:r>
      <w:r w:rsidR="00F67223">
        <w:t xml:space="preserve"> </w:t>
      </w:r>
      <w:r w:rsidR="001D310E">
        <w:t>farming, fishing, &amp; forestry</w:t>
      </w:r>
      <w:r w:rsidR="00F67223">
        <w:t xml:space="preserve"> occupations (</w:t>
      </w:r>
      <w:r w:rsidR="001D310E">
        <w:t>16,866</w:t>
      </w:r>
      <w:r w:rsidR="00F67223">
        <w:t xml:space="preserve"> unemployed workers), </w:t>
      </w:r>
      <w:r w:rsidR="00F21089">
        <w:t>sales &amp; related</w:t>
      </w:r>
      <w:r w:rsidR="00BF2D77">
        <w:t xml:space="preserve"> occupations (</w:t>
      </w:r>
      <w:r w:rsidR="001D310E">
        <w:t>15,608</w:t>
      </w:r>
      <w:r w:rsidR="00466B35">
        <w:t xml:space="preserve"> unemployed workers),</w:t>
      </w:r>
      <w:r>
        <w:t xml:space="preserve"> </w:t>
      </w:r>
      <w:r w:rsidR="00340C51">
        <w:t>n</w:t>
      </w:r>
      <w:r w:rsidR="00340C51" w:rsidRPr="00340C51">
        <w:t xml:space="preserve">o </w:t>
      </w:r>
      <w:r w:rsidR="00340C51">
        <w:t>p</w:t>
      </w:r>
      <w:r w:rsidR="00340C51" w:rsidRPr="00340C51">
        <w:t xml:space="preserve">revious </w:t>
      </w:r>
      <w:r w:rsidR="00340C51">
        <w:t>w</w:t>
      </w:r>
      <w:r w:rsidR="00340C51" w:rsidRPr="00340C51">
        <w:t xml:space="preserve">ork </w:t>
      </w:r>
      <w:r w:rsidR="00340C51">
        <w:t>e</w:t>
      </w:r>
      <w:r w:rsidR="00340C51" w:rsidRPr="00340C51">
        <w:t>xperience/</w:t>
      </w:r>
      <w:r w:rsidR="00340C51">
        <w:t>u</w:t>
      </w:r>
      <w:r w:rsidR="00340C51" w:rsidRPr="00340C51">
        <w:t>nspecified</w:t>
      </w:r>
      <w:r w:rsidR="002C4D3B">
        <w:t xml:space="preserve"> </w:t>
      </w:r>
      <w:r w:rsidR="00655419">
        <w:t>occupations (</w:t>
      </w:r>
      <w:r w:rsidR="001D310E">
        <w:t>10</w:t>
      </w:r>
      <w:r w:rsidR="004846C7">
        <w:t>,98</w:t>
      </w:r>
      <w:r w:rsidR="001D310E">
        <w:t>8</w:t>
      </w:r>
      <w:r w:rsidR="00F67223">
        <w:t xml:space="preserve"> </w:t>
      </w:r>
      <w:r w:rsidR="00B42546">
        <w:t>unemployed workers)</w:t>
      </w:r>
      <w:r w:rsidR="006A74F3">
        <w:t xml:space="preserve">. </w:t>
      </w:r>
      <w:r w:rsidR="00AD5379">
        <w:t xml:space="preserve">Though </w:t>
      </w:r>
      <w:r w:rsidR="007F03C2">
        <w:t>some of these occupations groups</w:t>
      </w:r>
      <w:r w:rsidR="002408B0">
        <w:t xml:space="preserve"> </w:t>
      </w:r>
      <w:r w:rsidR="007F03C2">
        <w:t xml:space="preserve">have a relatively high number of </w:t>
      </w:r>
      <w:r w:rsidR="00AD5379">
        <w:t xml:space="preserve">annual openings </w:t>
      </w:r>
      <w:r w:rsidR="002408B0">
        <w:t>(</w:t>
      </w:r>
      <w:r w:rsidR="007F03C2">
        <w:t>see</w:t>
      </w:r>
      <w:r w:rsidR="00AD5379">
        <w:t xml:space="preserve"> Figure </w:t>
      </w:r>
      <w:r w:rsidR="00B13C13">
        <w:t>1.</w:t>
      </w:r>
      <w:r w:rsidR="00AD5379">
        <w:t>3)</w:t>
      </w:r>
      <w:r w:rsidR="007D75B3">
        <w:t>,</w:t>
      </w:r>
      <w:r w:rsidR="00AD5379">
        <w:t xml:space="preserve"> </w:t>
      </w:r>
      <w:r w:rsidR="002408B0">
        <w:t>high turnover</w:t>
      </w:r>
      <w:r w:rsidR="00AD5379">
        <w:t xml:space="preserve"> </w:t>
      </w:r>
      <w:r w:rsidR="007F03C2">
        <w:t xml:space="preserve">still leads to </w:t>
      </w:r>
      <w:r w:rsidR="00AD5379">
        <w:t xml:space="preserve">a high number of unemployed. </w:t>
      </w:r>
    </w:p>
    <w:tbl>
      <w:tblPr>
        <w:tblStyle w:val="MediumShading1-Accent1"/>
        <w:tblW w:w="9576" w:type="dxa"/>
        <w:tblLayout w:type="fixed"/>
        <w:tblLook w:val="04A0" w:firstRow="1" w:lastRow="0" w:firstColumn="1" w:lastColumn="0" w:noHBand="0" w:noVBand="1"/>
      </w:tblPr>
      <w:tblGrid>
        <w:gridCol w:w="1008"/>
        <w:gridCol w:w="4320"/>
        <w:gridCol w:w="1440"/>
        <w:gridCol w:w="1440"/>
        <w:gridCol w:w="1368"/>
      </w:tblGrid>
      <w:tr w:rsidR="00587D95" w:rsidRPr="00377B00" w14:paraId="59450DF1" w14:textId="77777777" w:rsidTr="007751D8">
        <w:trPr>
          <w:cnfStyle w:val="100000000000" w:firstRow="1" w:lastRow="0" w:firstColumn="0" w:lastColumn="0" w:oddVBand="0" w:evenVBand="0" w:oddHBand="0" w:evenHBand="0" w:firstRowFirstColumn="0" w:firstRowLastColumn="0" w:lastRowFirstColumn="0" w:lastRowLastColumn="0"/>
          <w:trHeight w:hRule="exact" w:val="387"/>
        </w:trPr>
        <w:tc>
          <w:tcPr>
            <w:cnfStyle w:val="001000000000" w:firstRow="0" w:lastRow="0" w:firstColumn="1" w:lastColumn="0" w:oddVBand="0" w:evenVBand="0" w:oddHBand="0" w:evenHBand="0" w:firstRowFirstColumn="0" w:firstRowLastColumn="0" w:lastRowFirstColumn="0" w:lastRowLastColumn="0"/>
            <w:tcW w:w="9576" w:type="dxa"/>
            <w:gridSpan w:val="5"/>
            <w:tcBorders>
              <w:top w:val="nil"/>
              <w:left w:val="nil"/>
              <w:right w:val="nil"/>
            </w:tcBorders>
            <w:shd w:val="clear" w:color="auto" w:fill="auto"/>
            <w:noWrap/>
          </w:tcPr>
          <w:p w14:paraId="0B2860BF" w14:textId="6F75D3DF" w:rsidR="00587D95" w:rsidRPr="00244673" w:rsidRDefault="00587D95" w:rsidP="00244673">
            <w:pPr>
              <w:pStyle w:val="Tabletitle"/>
              <w:rPr>
                <w:b/>
              </w:rPr>
            </w:pPr>
            <w:r w:rsidRPr="00244673">
              <w:rPr>
                <w:b/>
              </w:rPr>
              <w:t xml:space="preserve">Table </w:t>
            </w:r>
            <w:r w:rsidR="00A30445">
              <w:rPr>
                <w:b/>
              </w:rPr>
              <w:t>1.</w:t>
            </w:r>
            <w:r w:rsidRPr="00244673">
              <w:rPr>
                <w:b/>
              </w:rPr>
              <w:t xml:space="preserve">7: </w:t>
            </w:r>
            <w:r w:rsidR="00396CD0">
              <w:rPr>
                <w:b/>
              </w:rPr>
              <w:t xml:space="preserve">Number of Unemployed Workers by Occupation Group in </w:t>
            </w:r>
            <w:r w:rsidR="006C38C7">
              <w:rPr>
                <w:b/>
              </w:rPr>
              <w:t>CCC</w:t>
            </w:r>
            <w:r w:rsidR="00396CD0">
              <w:rPr>
                <w:b/>
              </w:rPr>
              <w:t xml:space="preserve"> </w:t>
            </w:r>
            <w:r w:rsidR="00B101E7">
              <w:rPr>
                <w:b/>
              </w:rPr>
              <w:t>Economic Region</w:t>
            </w:r>
            <w:r w:rsidR="00396CD0">
              <w:rPr>
                <w:b/>
              </w:rPr>
              <w:t xml:space="preserve"> </w:t>
            </w:r>
          </w:p>
          <w:p w14:paraId="562EB791" w14:textId="77777777" w:rsidR="00587D95" w:rsidRDefault="00587D95" w:rsidP="00587D95">
            <w:pPr>
              <w:pStyle w:val="Tabletitle"/>
              <w:rPr>
                <w:rFonts w:asciiTheme="minorHAnsi" w:hAnsiTheme="minorHAnsi"/>
                <w:szCs w:val="18"/>
              </w:rPr>
            </w:pPr>
          </w:p>
        </w:tc>
      </w:tr>
      <w:tr w:rsidR="00587D95" w:rsidRPr="00377B00" w14:paraId="4CAEFF4D" w14:textId="77777777" w:rsidTr="00384961">
        <w:trPr>
          <w:cnfStyle w:val="000000100000" w:firstRow="0" w:lastRow="0" w:firstColumn="0" w:lastColumn="0" w:oddVBand="0" w:evenVBand="0" w:oddHBand="1" w:evenHBand="0" w:firstRowFirstColumn="0" w:firstRowLastColumn="0" w:lastRowFirstColumn="0" w:lastRowLastColumn="0"/>
          <w:trHeight w:hRule="exact" w:val="776"/>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shd w:val="clear" w:color="auto" w:fill="4F81BD" w:themeFill="accent1"/>
            <w:noWrap/>
            <w:vAlign w:val="center"/>
            <w:hideMark/>
          </w:tcPr>
          <w:p w14:paraId="3A4CC054" w14:textId="77777777" w:rsidR="009F141B" w:rsidRPr="00377B00" w:rsidRDefault="009F141B" w:rsidP="00384961">
            <w:pPr>
              <w:pStyle w:val="Tableheaderleft"/>
              <w:jc w:val="center"/>
            </w:pPr>
            <w:r w:rsidRPr="00377B00">
              <w:t>SOC Code</w:t>
            </w:r>
          </w:p>
        </w:tc>
        <w:tc>
          <w:tcPr>
            <w:tcW w:w="4320" w:type="dxa"/>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2D7B1B4D" w14:textId="77777777" w:rsidR="009F141B" w:rsidRPr="00377B00" w:rsidRDefault="009F141B" w:rsidP="00384961">
            <w:pPr>
              <w:pStyle w:val="Tableheaderleft"/>
              <w:jc w:val="center"/>
              <w:cnfStyle w:val="000000100000" w:firstRow="0" w:lastRow="0" w:firstColumn="0" w:lastColumn="0" w:oddVBand="0" w:evenVBand="0" w:oddHBand="1" w:evenHBand="0" w:firstRowFirstColumn="0" w:firstRowLastColumn="0" w:lastRowFirstColumn="0" w:lastRowLastColumn="0"/>
            </w:pPr>
            <w:r w:rsidRPr="00377B00">
              <w:t>Description</w:t>
            </w:r>
          </w:p>
        </w:tc>
        <w:tc>
          <w:tcPr>
            <w:tcW w:w="1440" w:type="dxa"/>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66D32912" w14:textId="5E576041" w:rsidR="009F141B" w:rsidRPr="00377B00" w:rsidRDefault="00587D95" w:rsidP="008E0427">
            <w:pPr>
              <w:pStyle w:val="Tableheadercenter"/>
              <w:cnfStyle w:val="000000100000" w:firstRow="0" w:lastRow="0" w:firstColumn="0" w:lastColumn="0" w:oddVBand="0" w:evenVBand="0" w:oddHBand="1" w:evenHBand="0" w:firstRowFirstColumn="0" w:firstRowLastColumn="0" w:lastRowFirstColumn="0" w:lastRowLastColumn="0"/>
            </w:pPr>
            <w:r>
              <w:t>No. of</w:t>
            </w:r>
            <w:r w:rsidR="009F141B" w:rsidRPr="00377B00">
              <w:t xml:space="preserve"> Unemployed</w:t>
            </w:r>
          </w:p>
        </w:tc>
        <w:tc>
          <w:tcPr>
            <w:tcW w:w="1440" w:type="dxa"/>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4DDB780C" w14:textId="59148337" w:rsidR="009F141B" w:rsidRPr="00377B00" w:rsidRDefault="009F141B" w:rsidP="008E0427">
            <w:pPr>
              <w:pStyle w:val="Tableheadercenter"/>
              <w:cnfStyle w:val="000000100000" w:firstRow="0" w:lastRow="0" w:firstColumn="0" w:lastColumn="0" w:oddVBand="0" w:evenVBand="0" w:oddHBand="1" w:evenHBand="0" w:firstRowFirstColumn="0" w:firstRowLastColumn="0" w:lastRowFirstColumn="0" w:lastRowLastColumn="0"/>
            </w:pPr>
            <w:r w:rsidRPr="00377B00">
              <w:t>% of Unemployed</w:t>
            </w:r>
          </w:p>
        </w:tc>
        <w:tc>
          <w:tcPr>
            <w:tcW w:w="1368" w:type="dxa"/>
            <w:tcBorders>
              <w:left w:val="single" w:sz="8" w:space="0" w:color="7BA0CD" w:themeColor="accent1" w:themeTint="BF"/>
              <w:right w:val="single" w:sz="8" w:space="0" w:color="7BA0CD" w:themeColor="accent1" w:themeTint="BF"/>
            </w:tcBorders>
            <w:shd w:val="clear" w:color="auto" w:fill="4F81BD" w:themeFill="accent1"/>
            <w:vAlign w:val="center"/>
          </w:tcPr>
          <w:p w14:paraId="02FABA83" w14:textId="5811A40E" w:rsidR="00587D95" w:rsidRDefault="006D1C88" w:rsidP="008E0427">
            <w:pPr>
              <w:pStyle w:val="Tableheadercenter"/>
              <w:cnfStyle w:val="000000100000" w:firstRow="0" w:lastRow="0" w:firstColumn="0" w:lastColumn="0" w:oddVBand="0" w:evenVBand="0" w:oddHBand="1" w:evenHBand="0" w:firstRowFirstColumn="0" w:firstRowLastColumn="0" w:lastRowFirstColumn="0" w:lastRowLastColumn="0"/>
            </w:pPr>
            <w:r>
              <w:t>National</w:t>
            </w:r>
          </w:p>
          <w:p w14:paraId="77993C66" w14:textId="7B4F60B3" w:rsidR="009F141B" w:rsidRPr="00377B00" w:rsidRDefault="006D1C88" w:rsidP="008E0427">
            <w:pPr>
              <w:pStyle w:val="Tableheadercenter"/>
              <w:cnfStyle w:val="000000100000" w:firstRow="0" w:lastRow="0" w:firstColumn="0" w:lastColumn="0" w:oddVBand="0" w:evenVBand="0" w:oddHBand="1" w:evenHBand="0" w:firstRowFirstColumn="0" w:firstRowLastColumn="0" w:lastRowFirstColumn="0" w:lastRowLastColumn="0"/>
            </w:pPr>
            <w:r>
              <w:t>% of Unemployed</w:t>
            </w:r>
          </w:p>
        </w:tc>
      </w:tr>
      <w:tr w:rsidR="001D310E" w:rsidRPr="00377B00" w14:paraId="4620F4A7"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70851CB0" w14:textId="3DFB1BC9" w:rsidR="001D310E" w:rsidRPr="00D80EA3" w:rsidRDefault="001D310E" w:rsidP="00E9271C">
            <w:pPr>
              <w:pStyle w:val="Tablenormalleft"/>
              <w:jc w:val="left"/>
              <w:rPr>
                <w:color w:val="000000"/>
              </w:rPr>
            </w:pPr>
            <w:r w:rsidRPr="00EB2DFD">
              <w:t>11-0000</w:t>
            </w:r>
          </w:p>
        </w:tc>
        <w:tc>
          <w:tcPr>
            <w:tcW w:w="4320" w:type="dxa"/>
            <w:tcBorders>
              <w:left w:val="single" w:sz="8" w:space="0" w:color="7BA0CD" w:themeColor="accent1" w:themeTint="BF"/>
              <w:right w:val="single" w:sz="8" w:space="0" w:color="7BA0CD" w:themeColor="accent1" w:themeTint="BF"/>
            </w:tcBorders>
            <w:noWrap/>
            <w:vAlign w:val="center"/>
          </w:tcPr>
          <w:p w14:paraId="3DAA8579" w14:textId="6B64A7AD"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Management</w:t>
            </w:r>
          </w:p>
        </w:tc>
        <w:tc>
          <w:tcPr>
            <w:tcW w:w="1440" w:type="dxa"/>
            <w:tcBorders>
              <w:left w:val="single" w:sz="8" w:space="0" w:color="7BA0CD" w:themeColor="accent1" w:themeTint="BF"/>
              <w:right w:val="single" w:sz="8" w:space="0" w:color="7BA0CD" w:themeColor="accent1" w:themeTint="BF"/>
            </w:tcBorders>
            <w:noWrap/>
            <w:vAlign w:val="center"/>
          </w:tcPr>
          <w:p w14:paraId="51CF3E69" w14:textId="0B046472"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2,401</w:t>
            </w:r>
          </w:p>
        </w:tc>
        <w:tc>
          <w:tcPr>
            <w:tcW w:w="1440" w:type="dxa"/>
            <w:tcBorders>
              <w:left w:val="single" w:sz="8" w:space="0" w:color="7BA0CD" w:themeColor="accent1" w:themeTint="BF"/>
              <w:right w:val="single" w:sz="8" w:space="0" w:color="7BA0CD" w:themeColor="accent1" w:themeTint="BF"/>
            </w:tcBorders>
            <w:noWrap/>
            <w:vAlign w:val="center"/>
          </w:tcPr>
          <w:p w14:paraId="169A189D" w14:textId="61926184"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3%</w:t>
            </w:r>
          </w:p>
        </w:tc>
        <w:tc>
          <w:tcPr>
            <w:tcW w:w="1368" w:type="dxa"/>
            <w:tcBorders>
              <w:left w:val="single" w:sz="8" w:space="0" w:color="7BA0CD" w:themeColor="accent1" w:themeTint="BF"/>
              <w:right w:val="single" w:sz="8" w:space="0" w:color="7BA0CD" w:themeColor="accent1" w:themeTint="BF"/>
            </w:tcBorders>
            <w:vAlign w:val="center"/>
          </w:tcPr>
          <w:p w14:paraId="30AF0A0A" w14:textId="2936B0B2"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5%</w:t>
            </w:r>
          </w:p>
        </w:tc>
      </w:tr>
      <w:tr w:rsidR="001D310E" w:rsidRPr="00377B00" w14:paraId="2973396A"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79568E65" w14:textId="3971F8ED" w:rsidR="001D310E" w:rsidRPr="00D80EA3" w:rsidRDefault="001D310E" w:rsidP="00E9271C">
            <w:pPr>
              <w:pStyle w:val="Tablenormalleft"/>
              <w:jc w:val="left"/>
              <w:rPr>
                <w:color w:val="000000"/>
              </w:rPr>
            </w:pPr>
            <w:r w:rsidRPr="00EB2DFD">
              <w:t>13-0000</w:t>
            </w:r>
          </w:p>
        </w:tc>
        <w:tc>
          <w:tcPr>
            <w:tcW w:w="4320" w:type="dxa"/>
            <w:tcBorders>
              <w:left w:val="single" w:sz="8" w:space="0" w:color="7BA0CD" w:themeColor="accent1" w:themeTint="BF"/>
              <w:right w:val="single" w:sz="8" w:space="0" w:color="7BA0CD" w:themeColor="accent1" w:themeTint="BF"/>
            </w:tcBorders>
            <w:noWrap/>
            <w:vAlign w:val="center"/>
          </w:tcPr>
          <w:p w14:paraId="08A1AFD5" w14:textId="7A28D717"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Business and Financial Operations</w:t>
            </w:r>
          </w:p>
        </w:tc>
        <w:tc>
          <w:tcPr>
            <w:tcW w:w="1440" w:type="dxa"/>
            <w:tcBorders>
              <w:left w:val="single" w:sz="8" w:space="0" w:color="7BA0CD" w:themeColor="accent1" w:themeTint="BF"/>
              <w:right w:val="single" w:sz="8" w:space="0" w:color="7BA0CD" w:themeColor="accent1" w:themeTint="BF"/>
            </w:tcBorders>
            <w:noWrap/>
            <w:vAlign w:val="center"/>
          </w:tcPr>
          <w:p w14:paraId="3DE32AA9" w14:textId="5B8AD700"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1,039</w:t>
            </w:r>
          </w:p>
        </w:tc>
        <w:tc>
          <w:tcPr>
            <w:tcW w:w="1440" w:type="dxa"/>
            <w:tcBorders>
              <w:left w:val="single" w:sz="8" w:space="0" w:color="7BA0CD" w:themeColor="accent1" w:themeTint="BF"/>
              <w:right w:val="single" w:sz="8" w:space="0" w:color="7BA0CD" w:themeColor="accent1" w:themeTint="BF"/>
            </w:tcBorders>
            <w:noWrap/>
            <w:vAlign w:val="center"/>
          </w:tcPr>
          <w:p w14:paraId="4EE87CA5" w14:textId="24AE4108"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w:t>
            </w:r>
          </w:p>
        </w:tc>
        <w:tc>
          <w:tcPr>
            <w:tcW w:w="1368" w:type="dxa"/>
            <w:tcBorders>
              <w:left w:val="single" w:sz="8" w:space="0" w:color="7BA0CD" w:themeColor="accent1" w:themeTint="BF"/>
              <w:right w:val="single" w:sz="8" w:space="0" w:color="7BA0CD" w:themeColor="accent1" w:themeTint="BF"/>
            </w:tcBorders>
            <w:vAlign w:val="center"/>
          </w:tcPr>
          <w:p w14:paraId="4802AB52" w14:textId="2E901520"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3%</w:t>
            </w:r>
          </w:p>
        </w:tc>
      </w:tr>
      <w:tr w:rsidR="001D310E" w:rsidRPr="00377B00" w14:paraId="24E406F9"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446E5C11" w14:textId="4A4C441A" w:rsidR="001D310E" w:rsidRPr="00D80EA3" w:rsidRDefault="001D310E" w:rsidP="00E9271C">
            <w:pPr>
              <w:pStyle w:val="Tablenormalleft"/>
              <w:jc w:val="left"/>
              <w:rPr>
                <w:color w:val="000000"/>
              </w:rPr>
            </w:pPr>
            <w:r w:rsidRPr="00EB2DFD">
              <w:t>15-0000</w:t>
            </w:r>
          </w:p>
        </w:tc>
        <w:tc>
          <w:tcPr>
            <w:tcW w:w="4320" w:type="dxa"/>
            <w:tcBorders>
              <w:left w:val="single" w:sz="8" w:space="0" w:color="7BA0CD" w:themeColor="accent1" w:themeTint="BF"/>
              <w:right w:val="single" w:sz="8" w:space="0" w:color="7BA0CD" w:themeColor="accent1" w:themeTint="BF"/>
            </w:tcBorders>
            <w:noWrap/>
            <w:vAlign w:val="center"/>
          </w:tcPr>
          <w:p w14:paraId="58CED9BB" w14:textId="586F342B"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Computer and Mathematical</w:t>
            </w:r>
          </w:p>
        </w:tc>
        <w:tc>
          <w:tcPr>
            <w:tcW w:w="1440" w:type="dxa"/>
            <w:tcBorders>
              <w:left w:val="single" w:sz="8" w:space="0" w:color="7BA0CD" w:themeColor="accent1" w:themeTint="BF"/>
              <w:right w:val="single" w:sz="8" w:space="0" w:color="7BA0CD" w:themeColor="accent1" w:themeTint="BF"/>
            </w:tcBorders>
            <w:noWrap/>
            <w:vAlign w:val="center"/>
          </w:tcPr>
          <w:p w14:paraId="1283C7CF" w14:textId="75D161F4"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766</w:t>
            </w:r>
          </w:p>
        </w:tc>
        <w:tc>
          <w:tcPr>
            <w:tcW w:w="1440" w:type="dxa"/>
            <w:tcBorders>
              <w:left w:val="single" w:sz="8" w:space="0" w:color="7BA0CD" w:themeColor="accent1" w:themeTint="BF"/>
              <w:right w:val="single" w:sz="8" w:space="0" w:color="7BA0CD" w:themeColor="accent1" w:themeTint="BF"/>
            </w:tcBorders>
            <w:noWrap/>
            <w:vAlign w:val="center"/>
          </w:tcPr>
          <w:p w14:paraId="649500C0" w14:textId="4BD2F1C0"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1%</w:t>
            </w:r>
          </w:p>
        </w:tc>
        <w:tc>
          <w:tcPr>
            <w:tcW w:w="1368" w:type="dxa"/>
            <w:tcBorders>
              <w:left w:val="single" w:sz="8" w:space="0" w:color="7BA0CD" w:themeColor="accent1" w:themeTint="BF"/>
              <w:right w:val="single" w:sz="8" w:space="0" w:color="7BA0CD" w:themeColor="accent1" w:themeTint="BF"/>
            </w:tcBorders>
            <w:vAlign w:val="center"/>
          </w:tcPr>
          <w:p w14:paraId="434ABA90" w14:textId="4DD35244"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1%</w:t>
            </w:r>
          </w:p>
        </w:tc>
      </w:tr>
      <w:tr w:rsidR="001D310E" w:rsidRPr="00377B00" w14:paraId="6EDA0A1B"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5AEC3E12" w14:textId="5774D86D" w:rsidR="001D310E" w:rsidRPr="00D80EA3" w:rsidRDefault="001D310E" w:rsidP="00E9271C">
            <w:pPr>
              <w:pStyle w:val="Tablenormalleft"/>
              <w:jc w:val="left"/>
              <w:rPr>
                <w:color w:val="000000"/>
              </w:rPr>
            </w:pPr>
            <w:r w:rsidRPr="00EB2DFD">
              <w:t>17-0000</w:t>
            </w:r>
          </w:p>
        </w:tc>
        <w:tc>
          <w:tcPr>
            <w:tcW w:w="4320" w:type="dxa"/>
            <w:tcBorders>
              <w:left w:val="single" w:sz="8" w:space="0" w:color="7BA0CD" w:themeColor="accent1" w:themeTint="BF"/>
              <w:right w:val="single" w:sz="8" w:space="0" w:color="7BA0CD" w:themeColor="accent1" w:themeTint="BF"/>
            </w:tcBorders>
            <w:noWrap/>
            <w:vAlign w:val="center"/>
          </w:tcPr>
          <w:p w14:paraId="34161A8C" w14:textId="4A20D0B1"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A</w:t>
            </w:r>
            <w:r w:rsidR="006C38C7">
              <w:t>CCC</w:t>
            </w:r>
            <w:r w:rsidRPr="00A77C6E">
              <w:t>hitecture and Engineering</w:t>
            </w:r>
          </w:p>
        </w:tc>
        <w:tc>
          <w:tcPr>
            <w:tcW w:w="1440" w:type="dxa"/>
            <w:tcBorders>
              <w:left w:val="single" w:sz="8" w:space="0" w:color="7BA0CD" w:themeColor="accent1" w:themeTint="BF"/>
              <w:right w:val="single" w:sz="8" w:space="0" w:color="7BA0CD" w:themeColor="accent1" w:themeTint="BF"/>
            </w:tcBorders>
            <w:noWrap/>
            <w:vAlign w:val="center"/>
          </w:tcPr>
          <w:p w14:paraId="4F0536D0" w14:textId="3BE99D33"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233</w:t>
            </w:r>
          </w:p>
        </w:tc>
        <w:tc>
          <w:tcPr>
            <w:tcW w:w="1440" w:type="dxa"/>
            <w:tcBorders>
              <w:left w:val="single" w:sz="8" w:space="0" w:color="7BA0CD" w:themeColor="accent1" w:themeTint="BF"/>
              <w:right w:val="single" w:sz="8" w:space="0" w:color="7BA0CD" w:themeColor="accent1" w:themeTint="BF"/>
            </w:tcBorders>
            <w:noWrap/>
            <w:vAlign w:val="center"/>
          </w:tcPr>
          <w:p w14:paraId="1614AE1F" w14:textId="20400DB9"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0%</w:t>
            </w:r>
          </w:p>
        </w:tc>
        <w:tc>
          <w:tcPr>
            <w:tcW w:w="1368" w:type="dxa"/>
            <w:tcBorders>
              <w:left w:val="single" w:sz="8" w:space="0" w:color="7BA0CD" w:themeColor="accent1" w:themeTint="BF"/>
              <w:right w:val="single" w:sz="8" w:space="0" w:color="7BA0CD" w:themeColor="accent1" w:themeTint="BF"/>
            </w:tcBorders>
            <w:vAlign w:val="center"/>
          </w:tcPr>
          <w:p w14:paraId="32688599" w14:textId="3CBBD63C"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1%</w:t>
            </w:r>
          </w:p>
        </w:tc>
      </w:tr>
      <w:tr w:rsidR="001D310E" w:rsidRPr="00377B00" w14:paraId="01C57872"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3DC2B19C" w14:textId="5BC555D6" w:rsidR="001D310E" w:rsidRPr="00D80EA3" w:rsidRDefault="001D310E" w:rsidP="00E9271C">
            <w:pPr>
              <w:pStyle w:val="Tablenormalleft"/>
              <w:jc w:val="left"/>
              <w:rPr>
                <w:color w:val="000000"/>
              </w:rPr>
            </w:pPr>
            <w:r w:rsidRPr="00EB2DFD">
              <w:t>19-0000</w:t>
            </w:r>
          </w:p>
        </w:tc>
        <w:tc>
          <w:tcPr>
            <w:tcW w:w="4320" w:type="dxa"/>
            <w:tcBorders>
              <w:left w:val="single" w:sz="8" w:space="0" w:color="7BA0CD" w:themeColor="accent1" w:themeTint="BF"/>
              <w:right w:val="single" w:sz="8" w:space="0" w:color="7BA0CD" w:themeColor="accent1" w:themeTint="BF"/>
            </w:tcBorders>
            <w:noWrap/>
            <w:vAlign w:val="center"/>
          </w:tcPr>
          <w:p w14:paraId="712474A0" w14:textId="3E805B52"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Life, Physical, and Social Science</w:t>
            </w:r>
          </w:p>
        </w:tc>
        <w:tc>
          <w:tcPr>
            <w:tcW w:w="1440" w:type="dxa"/>
            <w:tcBorders>
              <w:left w:val="single" w:sz="8" w:space="0" w:color="7BA0CD" w:themeColor="accent1" w:themeTint="BF"/>
              <w:right w:val="single" w:sz="8" w:space="0" w:color="7BA0CD" w:themeColor="accent1" w:themeTint="BF"/>
            </w:tcBorders>
            <w:noWrap/>
            <w:vAlign w:val="center"/>
          </w:tcPr>
          <w:p w14:paraId="1E9B1EDB" w14:textId="49AA2643"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4</w:t>
            </w:r>
          </w:p>
        </w:tc>
        <w:tc>
          <w:tcPr>
            <w:tcW w:w="1440" w:type="dxa"/>
            <w:tcBorders>
              <w:left w:val="single" w:sz="8" w:space="0" w:color="7BA0CD" w:themeColor="accent1" w:themeTint="BF"/>
              <w:right w:val="single" w:sz="8" w:space="0" w:color="7BA0CD" w:themeColor="accent1" w:themeTint="BF"/>
            </w:tcBorders>
            <w:noWrap/>
            <w:vAlign w:val="center"/>
          </w:tcPr>
          <w:p w14:paraId="3FFB6D6F" w14:textId="254FF27E"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0%</w:t>
            </w:r>
          </w:p>
        </w:tc>
        <w:tc>
          <w:tcPr>
            <w:tcW w:w="1368" w:type="dxa"/>
            <w:tcBorders>
              <w:left w:val="single" w:sz="8" w:space="0" w:color="7BA0CD" w:themeColor="accent1" w:themeTint="BF"/>
              <w:right w:val="single" w:sz="8" w:space="0" w:color="7BA0CD" w:themeColor="accent1" w:themeTint="BF"/>
            </w:tcBorders>
            <w:vAlign w:val="center"/>
          </w:tcPr>
          <w:p w14:paraId="2BA205CE" w14:textId="657B3733"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0%</w:t>
            </w:r>
          </w:p>
        </w:tc>
      </w:tr>
      <w:tr w:rsidR="001D310E" w:rsidRPr="00377B00" w14:paraId="1ABA94DE"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0FAA6145" w14:textId="1A325C3C" w:rsidR="001D310E" w:rsidRPr="00D80EA3" w:rsidRDefault="001D310E" w:rsidP="00E9271C">
            <w:pPr>
              <w:pStyle w:val="Tablenormalleft"/>
              <w:jc w:val="left"/>
              <w:rPr>
                <w:color w:val="000000"/>
              </w:rPr>
            </w:pPr>
            <w:r w:rsidRPr="00EB2DFD">
              <w:t>21-0000</w:t>
            </w:r>
          </w:p>
        </w:tc>
        <w:tc>
          <w:tcPr>
            <w:tcW w:w="4320" w:type="dxa"/>
            <w:tcBorders>
              <w:left w:val="single" w:sz="8" w:space="0" w:color="7BA0CD" w:themeColor="accent1" w:themeTint="BF"/>
              <w:right w:val="single" w:sz="8" w:space="0" w:color="7BA0CD" w:themeColor="accent1" w:themeTint="BF"/>
            </w:tcBorders>
            <w:noWrap/>
            <w:vAlign w:val="center"/>
          </w:tcPr>
          <w:p w14:paraId="16623BDC" w14:textId="68300A83"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Community and Social Service</w:t>
            </w:r>
          </w:p>
        </w:tc>
        <w:tc>
          <w:tcPr>
            <w:tcW w:w="1440" w:type="dxa"/>
            <w:tcBorders>
              <w:left w:val="single" w:sz="8" w:space="0" w:color="7BA0CD" w:themeColor="accent1" w:themeTint="BF"/>
              <w:right w:val="single" w:sz="8" w:space="0" w:color="7BA0CD" w:themeColor="accent1" w:themeTint="BF"/>
            </w:tcBorders>
            <w:noWrap/>
            <w:vAlign w:val="center"/>
          </w:tcPr>
          <w:p w14:paraId="519F1C58" w14:textId="0544CA1D"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571</w:t>
            </w:r>
          </w:p>
        </w:tc>
        <w:tc>
          <w:tcPr>
            <w:tcW w:w="1440" w:type="dxa"/>
            <w:tcBorders>
              <w:left w:val="single" w:sz="8" w:space="0" w:color="7BA0CD" w:themeColor="accent1" w:themeTint="BF"/>
              <w:right w:val="single" w:sz="8" w:space="0" w:color="7BA0CD" w:themeColor="accent1" w:themeTint="BF"/>
            </w:tcBorders>
            <w:noWrap/>
            <w:vAlign w:val="center"/>
          </w:tcPr>
          <w:p w14:paraId="600F495D" w14:textId="1CF41AB1"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w:t>
            </w:r>
          </w:p>
        </w:tc>
        <w:tc>
          <w:tcPr>
            <w:tcW w:w="1368" w:type="dxa"/>
            <w:tcBorders>
              <w:left w:val="single" w:sz="8" w:space="0" w:color="7BA0CD" w:themeColor="accent1" w:themeTint="BF"/>
              <w:right w:val="single" w:sz="8" w:space="0" w:color="7BA0CD" w:themeColor="accent1" w:themeTint="BF"/>
            </w:tcBorders>
            <w:vAlign w:val="center"/>
          </w:tcPr>
          <w:p w14:paraId="457E561E" w14:textId="5DB20C2D"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1%</w:t>
            </w:r>
          </w:p>
        </w:tc>
      </w:tr>
      <w:tr w:rsidR="001D310E" w:rsidRPr="00377B00" w14:paraId="08208947"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02EDC592" w14:textId="53FB528A" w:rsidR="001D310E" w:rsidRPr="00D80EA3" w:rsidRDefault="001D310E" w:rsidP="00E9271C">
            <w:pPr>
              <w:pStyle w:val="Tablenormalleft"/>
              <w:jc w:val="left"/>
              <w:rPr>
                <w:color w:val="000000"/>
              </w:rPr>
            </w:pPr>
            <w:r w:rsidRPr="00EB2DFD">
              <w:t>23-0000</w:t>
            </w:r>
          </w:p>
        </w:tc>
        <w:tc>
          <w:tcPr>
            <w:tcW w:w="4320" w:type="dxa"/>
            <w:tcBorders>
              <w:left w:val="single" w:sz="8" w:space="0" w:color="7BA0CD" w:themeColor="accent1" w:themeTint="BF"/>
              <w:right w:val="single" w:sz="8" w:space="0" w:color="7BA0CD" w:themeColor="accent1" w:themeTint="BF"/>
            </w:tcBorders>
            <w:noWrap/>
            <w:vAlign w:val="center"/>
          </w:tcPr>
          <w:p w14:paraId="76C11900" w14:textId="08843A3E"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Legal</w:t>
            </w:r>
          </w:p>
        </w:tc>
        <w:tc>
          <w:tcPr>
            <w:tcW w:w="1440" w:type="dxa"/>
            <w:tcBorders>
              <w:left w:val="single" w:sz="8" w:space="0" w:color="7BA0CD" w:themeColor="accent1" w:themeTint="BF"/>
              <w:right w:val="single" w:sz="8" w:space="0" w:color="7BA0CD" w:themeColor="accent1" w:themeTint="BF"/>
            </w:tcBorders>
            <w:noWrap/>
            <w:vAlign w:val="center"/>
          </w:tcPr>
          <w:p w14:paraId="68E90039" w14:textId="25BA6BF2"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200</w:t>
            </w:r>
          </w:p>
        </w:tc>
        <w:tc>
          <w:tcPr>
            <w:tcW w:w="1440" w:type="dxa"/>
            <w:tcBorders>
              <w:left w:val="single" w:sz="8" w:space="0" w:color="7BA0CD" w:themeColor="accent1" w:themeTint="BF"/>
              <w:right w:val="single" w:sz="8" w:space="0" w:color="7BA0CD" w:themeColor="accent1" w:themeTint="BF"/>
            </w:tcBorders>
            <w:noWrap/>
            <w:vAlign w:val="center"/>
          </w:tcPr>
          <w:p w14:paraId="4DBA78C7" w14:textId="5AE8D294"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0%</w:t>
            </w:r>
          </w:p>
        </w:tc>
        <w:tc>
          <w:tcPr>
            <w:tcW w:w="1368" w:type="dxa"/>
            <w:tcBorders>
              <w:left w:val="single" w:sz="8" w:space="0" w:color="7BA0CD" w:themeColor="accent1" w:themeTint="BF"/>
              <w:right w:val="single" w:sz="8" w:space="0" w:color="7BA0CD" w:themeColor="accent1" w:themeTint="BF"/>
            </w:tcBorders>
            <w:vAlign w:val="center"/>
          </w:tcPr>
          <w:p w14:paraId="05B83D9E" w14:textId="2EDF733F"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1%</w:t>
            </w:r>
          </w:p>
        </w:tc>
      </w:tr>
      <w:tr w:rsidR="001D310E" w:rsidRPr="00377B00" w14:paraId="2FC35DC2"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633F2914" w14:textId="5E3D8F58" w:rsidR="001D310E" w:rsidRPr="00D80EA3" w:rsidRDefault="001D310E" w:rsidP="00E9271C">
            <w:pPr>
              <w:pStyle w:val="Tablenormalleft"/>
              <w:jc w:val="left"/>
              <w:rPr>
                <w:color w:val="000000"/>
              </w:rPr>
            </w:pPr>
            <w:r w:rsidRPr="00EB2DFD">
              <w:t>25-0000</w:t>
            </w:r>
          </w:p>
        </w:tc>
        <w:tc>
          <w:tcPr>
            <w:tcW w:w="4320" w:type="dxa"/>
            <w:tcBorders>
              <w:left w:val="single" w:sz="8" w:space="0" w:color="7BA0CD" w:themeColor="accent1" w:themeTint="BF"/>
              <w:right w:val="single" w:sz="8" w:space="0" w:color="7BA0CD" w:themeColor="accent1" w:themeTint="BF"/>
            </w:tcBorders>
            <w:noWrap/>
            <w:vAlign w:val="center"/>
          </w:tcPr>
          <w:p w14:paraId="0917DEA1" w14:textId="495C0D71"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Education, Training, and Library</w:t>
            </w:r>
          </w:p>
        </w:tc>
        <w:tc>
          <w:tcPr>
            <w:tcW w:w="1440" w:type="dxa"/>
            <w:tcBorders>
              <w:left w:val="single" w:sz="8" w:space="0" w:color="7BA0CD" w:themeColor="accent1" w:themeTint="BF"/>
              <w:right w:val="single" w:sz="8" w:space="0" w:color="7BA0CD" w:themeColor="accent1" w:themeTint="BF"/>
            </w:tcBorders>
            <w:noWrap/>
            <w:vAlign w:val="center"/>
          </w:tcPr>
          <w:p w14:paraId="73C46B5A" w14:textId="1D6DA596"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19</w:t>
            </w:r>
          </w:p>
        </w:tc>
        <w:tc>
          <w:tcPr>
            <w:tcW w:w="1440" w:type="dxa"/>
            <w:tcBorders>
              <w:left w:val="single" w:sz="8" w:space="0" w:color="7BA0CD" w:themeColor="accent1" w:themeTint="BF"/>
              <w:right w:val="single" w:sz="8" w:space="0" w:color="7BA0CD" w:themeColor="accent1" w:themeTint="BF"/>
            </w:tcBorders>
            <w:noWrap/>
            <w:vAlign w:val="center"/>
          </w:tcPr>
          <w:p w14:paraId="5157439F" w14:textId="57D6EA0B"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0%</w:t>
            </w:r>
          </w:p>
        </w:tc>
        <w:tc>
          <w:tcPr>
            <w:tcW w:w="1368" w:type="dxa"/>
            <w:tcBorders>
              <w:left w:val="single" w:sz="8" w:space="0" w:color="7BA0CD" w:themeColor="accent1" w:themeTint="BF"/>
              <w:right w:val="single" w:sz="8" w:space="0" w:color="7BA0CD" w:themeColor="accent1" w:themeTint="BF"/>
            </w:tcBorders>
            <w:vAlign w:val="center"/>
          </w:tcPr>
          <w:p w14:paraId="1BCA0235" w14:textId="46FE9F20"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2%</w:t>
            </w:r>
          </w:p>
        </w:tc>
      </w:tr>
      <w:tr w:rsidR="001D310E" w:rsidRPr="00377B00" w14:paraId="0DF87681"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74F09F49" w14:textId="76AD9FE4" w:rsidR="001D310E" w:rsidRPr="00D80EA3" w:rsidRDefault="001D310E" w:rsidP="00E9271C">
            <w:pPr>
              <w:pStyle w:val="Tablenormalleft"/>
              <w:jc w:val="left"/>
              <w:rPr>
                <w:color w:val="000000"/>
              </w:rPr>
            </w:pPr>
            <w:r w:rsidRPr="00EB2DFD">
              <w:t>27-0000</w:t>
            </w:r>
          </w:p>
        </w:tc>
        <w:tc>
          <w:tcPr>
            <w:tcW w:w="4320" w:type="dxa"/>
            <w:tcBorders>
              <w:left w:val="single" w:sz="8" w:space="0" w:color="7BA0CD" w:themeColor="accent1" w:themeTint="BF"/>
              <w:right w:val="single" w:sz="8" w:space="0" w:color="7BA0CD" w:themeColor="accent1" w:themeTint="BF"/>
            </w:tcBorders>
            <w:noWrap/>
            <w:vAlign w:val="center"/>
          </w:tcPr>
          <w:p w14:paraId="4E1B9C1E" w14:textId="21340927"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Arts, Design, Entertainment, Sports, and Media</w:t>
            </w:r>
          </w:p>
        </w:tc>
        <w:tc>
          <w:tcPr>
            <w:tcW w:w="1440" w:type="dxa"/>
            <w:tcBorders>
              <w:left w:val="single" w:sz="8" w:space="0" w:color="7BA0CD" w:themeColor="accent1" w:themeTint="BF"/>
              <w:right w:val="single" w:sz="8" w:space="0" w:color="7BA0CD" w:themeColor="accent1" w:themeTint="BF"/>
            </w:tcBorders>
            <w:noWrap/>
            <w:vAlign w:val="center"/>
          </w:tcPr>
          <w:p w14:paraId="14411A9F" w14:textId="4E018977"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499</w:t>
            </w:r>
          </w:p>
        </w:tc>
        <w:tc>
          <w:tcPr>
            <w:tcW w:w="1440" w:type="dxa"/>
            <w:tcBorders>
              <w:left w:val="single" w:sz="8" w:space="0" w:color="7BA0CD" w:themeColor="accent1" w:themeTint="BF"/>
              <w:right w:val="single" w:sz="8" w:space="0" w:color="7BA0CD" w:themeColor="accent1" w:themeTint="BF"/>
            </w:tcBorders>
            <w:noWrap/>
            <w:vAlign w:val="center"/>
          </w:tcPr>
          <w:p w14:paraId="20A6F292" w14:textId="1E740697"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1%</w:t>
            </w:r>
          </w:p>
        </w:tc>
        <w:tc>
          <w:tcPr>
            <w:tcW w:w="1368" w:type="dxa"/>
            <w:tcBorders>
              <w:left w:val="single" w:sz="8" w:space="0" w:color="7BA0CD" w:themeColor="accent1" w:themeTint="BF"/>
              <w:right w:val="single" w:sz="8" w:space="0" w:color="7BA0CD" w:themeColor="accent1" w:themeTint="BF"/>
            </w:tcBorders>
            <w:vAlign w:val="center"/>
          </w:tcPr>
          <w:p w14:paraId="3FB49658" w14:textId="43438FC1"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2%</w:t>
            </w:r>
          </w:p>
        </w:tc>
      </w:tr>
      <w:tr w:rsidR="001D310E" w:rsidRPr="00377B00" w14:paraId="6A4217C7"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0FE6DFC0" w14:textId="315F8A2B" w:rsidR="001D310E" w:rsidRPr="00D80EA3" w:rsidRDefault="001D310E" w:rsidP="00E9271C">
            <w:pPr>
              <w:pStyle w:val="Tablenormalleft"/>
              <w:jc w:val="left"/>
              <w:rPr>
                <w:color w:val="000000"/>
              </w:rPr>
            </w:pPr>
            <w:r w:rsidRPr="00EB2DFD">
              <w:t>29-0000</w:t>
            </w:r>
          </w:p>
        </w:tc>
        <w:tc>
          <w:tcPr>
            <w:tcW w:w="4320" w:type="dxa"/>
            <w:tcBorders>
              <w:left w:val="single" w:sz="8" w:space="0" w:color="7BA0CD" w:themeColor="accent1" w:themeTint="BF"/>
              <w:right w:val="single" w:sz="8" w:space="0" w:color="7BA0CD" w:themeColor="accent1" w:themeTint="BF"/>
            </w:tcBorders>
            <w:noWrap/>
            <w:vAlign w:val="center"/>
          </w:tcPr>
          <w:p w14:paraId="272274A9" w14:textId="64F2DC63"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Healthcare Practitioners and Technical</w:t>
            </w:r>
          </w:p>
        </w:tc>
        <w:tc>
          <w:tcPr>
            <w:tcW w:w="1440" w:type="dxa"/>
            <w:tcBorders>
              <w:left w:val="single" w:sz="8" w:space="0" w:color="7BA0CD" w:themeColor="accent1" w:themeTint="BF"/>
              <w:right w:val="single" w:sz="8" w:space="0" w:color="7BA0CD" w:themeColor="accent1" w:themeTint="BF"/>
            </w:tcBorders>
            <w:noWrap/>
            <w:vAlign w:val="center"/>
          </w:tcPr>
          <w:p w14:paraId="6FE23BCD" w14:textId="414404AC"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872</w:t>
            </w:r>
          </w:p>
        </w:tc>
        <w:tc>
          <w:tcPr>
            <w:tcW w:w="1440" w:type="dxa"/>
            <w:tcBorders>
              <w:left w:val="single" w:sz="8" w:space="0" w:color="7BA0CD" w:themeColor="accent1" w:themeTint="BF"/>
              <w:right w:val="single" w:sz="8" w:space="0" w:color="7BA0CD" w:themeColor="accent1" w:themeTint="BF"/>
            </w:tcBorders>
            <w:noWrap/>
            <w:vAlign w:val="center"/>
          </w:tcPr>
          <w:p w14:paraId="551D2174" w14:textId="23E39558"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w:t>
            </w:r>
          </w:p>
        </w:tc>
        <w:tc>
          <w:tcPr>
            <w:tcW w:w="1368" w:type="dxa"/>
            <w:tcBorders>
              <w:left w:val="single" w:sz="8" w:space="0" w:color="7BA0CD" w:themeColor="accent1" w:themeTint="BF"/>
              <w:right w:val="single" w:sz="8" w:space="0" w:color="7BA0CD" w:themeColor="accent1" w:themeTint="BF"/>
            </w:tcBorders>
            <w:vAlign w:val="center"/>
          </w:tcPr>
          <w:p w14:paraId="59995441" w14:textId="5B4F6FD3"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2%</w:t>
            </w:r>
          </w:p>
        </w:tc>
      </w:tr>
      <w:tr w:rsidR="001D310E" w:rsidRPr="00377B00" w14:paraId="66E6EEBF"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04972927" w14:textId="745732DB" w:rsidR="001D310E" w:rsidRPr="00D80EA3" w:rsidRDefault="001D310E" w:rsidP="00E9271C">
            <w:pPr>
              <w:pStyle w:val="Tablenormalleft"/>
              <w:jc w:val="left"/>
              <w:rPr>
                <w:color w:val="000000"/>
              </w:rPr>
            </w:pPr>
            <w:r w:rsidRPr="00EB2DFD">
              <w:t>31-0000</w:t>
            </w:r>
          </w:p>
        </w:tc>
        <w:tc>
          <w:tcPr>
            <w:tcW w:w="4320" w:type="dxa"/>
            <w:tcBorders>
              <w:left w:val="single" w:sz="8" w:space="0" w:color="7BA0CD" w:themeColor="accent1" w:themeTint="BF"/>
              <w:right w:val="single" w:sz="8" w:space="0" w:color="7BA0CD" w:themeColor="accent1" w:themeTint="BF"/>
            </w:tcBorders>
            <w:noWrap/>
            <w:vAlign w:val="center"/>
          </w:tcPr>
          <w:p w14:paraId="36127A4F" w14:textId="46F2559B"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Healthcare Support</w:t>
            </w:r>
          </w:p>
        </w:tc>
        <w:tc>
          <w:tcPr>
            <w:tcW w:w="1440" w:type="dxa"/>
            <w:tcBorders>
              <w:left w:val="single" w:sz="8" w:space="0" w:color="7BA0CD" w:themeColor="accent1" w:themeTint="BF"/>
              <w:right w:val="single" w:sz="8" w:space="0" w:color="7BA0CD" w:themeColor="accent1" w:themeTint="BF"/>
            </w:tcBorders>
            <w:noWrap/>
            <w:vAlign w:val="center"/>
          </w:tcPr>
          <w:p w14:paraId="7DEB0AED" w14:textId="2DF5E0E4"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1,067</w:t>
            </w:r>
          </w:p>
        </w:tc>
        <w:tc>
          <w:tcPr>
            <w:tcW w:w="1440" w:type="dxa"/>
            <w:tcBorders>
              <w:left w:val="single" w:sz="8" w:space="0" w:color="7BA0CD" w:themeColor="accent1" w:themeTint="BF"/>
              <w:right w:val="single" w:sz="8" w:space="0" w:color="7BA0CD" w:themeColor="accent1" w:themeTint="BF"/>
            </w:tcBorders>
            <w:noWrap/>
            <w:vAlign w:val="center"/>
          </w:tcPr>
          <w:p w14:paraId="3D0F2B52" w14:textId="303A5D13"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1%</w:t>
            </w:r>
          </w:p>
        </w:tc>
        <w:tc>
          <w:tcPr>
            <w:tcW w:w="1368" w:type="dxa"/>
            <w:tcBorders>
              <w:left w:val="single" w:sz="8" w:space="0" w:color="7BA0CD" w:themeColor="accent1" w:themeTint="BF"/>
              <w:right w:val="single" w:sz="8" w:space="0" w:color="7BA0CD" w:themeColor="accent1" w:themeTint="BF"/>
            </w:tcBorders>
            <w:vAlign w:val="center"/>
          </w:tcPr>
          <w:p w14:paraId="09FDC122" w14:textId="2B805458"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2%</w:t>
            </w:r>
          </w:p>
        </w:tc>
      </w:tr>
      <w:tr w:rsidR="001D310E" w:rsidRPr="00377B00" w14:paraId="255DBB31"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4461F479" w14:textId="44AFD654" w:rsidR="001D310E" w:rsidRPr="00D80EA3" w:rsidRDefault="001D310E" w:rsidP="00E9271C">
            <w:pPr>
              <w:pStyle w:val="Tablenormalleft"/>
              <w:jc w:val="left"/>
              <w:rPr>
                <w:color w:val="000000"/>
              </w:rPr>
            </w:pPr>
            <w:r w:rsidRPr="00EB2DFD">
              <w:t>33-0000</w:t>
            </w:r>
          </w:p>
        </w:tc>
        <w:tc>
          <w:tcPr>
            <w:tcW w:w="4320" w:type="dxa"/>
            <w:tcBorders>
              <w:left w:val="single" w:sz="8" w:space="0" w:color="7BA0CD" w:themeColor="accent1" w:themeTint="BF"/>
              <w:right w:val="single" w:sz="8" w:space="0" w:color="7BA0CD" w:themeColor="accent1" w:themeTint="BF"/>
            </w:tcBorders>
            <w:noWrap/>
            <w:vAlign w:val="center"/>
          </w:tcPr>
          <w:p w14:paraId="7CEC8CB0" w14:textId="5B39B852"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Protective Service</w:t>
            </w:r>
          </w:p>
        </w:tc>
        <w:tc>
          <w:tcPr>
            <w:tcW w:w="1440" w:type="dxa"/>
            <w:tcBorders>
              <w:left w:val="single" w:sz="8" w:space="0" w:color="7BA0CD" w:themeColor="accent1" w:themeTint="BF"/>
              <w:right w:val="single" w:sz="8" w:space="0" w:color="7BA0CD" w:themeColor="accent1" w:themeTint="BF"/>
            </w:tcBorders>
            <w:noWrap/>
            <w:vAlign w:val="center"/>
          </w:tcPr>
          <w:p w14:paraId="19DE27C3" w14:textId="17E26672"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776</w:t>
            </w:r>
          </w:p>
        </w:tc>
        <w:tc>
          <w:tcPr>
            <w:tcW w:w="1440" w:type="dxa"/>
            <w:tcBorders>
              <w:left w:val="single" w:sz="8" w:space="0" w:color="7BA0CD" w:themeColor="accent1" w:themeTint="BF"/>
              <w:right w:val="single" w:sz="8" w:space="0" w:color="7BA0CD" w:themeColor="accent1" w:themeTint="BF"/>
            </w:tcBorders>
            <w:noWrap/>
            <w:vAlign w:val="center"/>
          </w:tcPr>
          <w:p w14:paraId="7AA82600" w14:textId="61A6B027"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w:t>
            </w:r>
          </w:p>
        </w:tc>
        <w:tc>
          <w:tcPr>
            <w:tcW w:w="1368" w:type="dxa"/>
            <w:tcBorders>
              <w:left w:val="single" w:sz="8" w:space="0" w:color="7BA0CD" w:themeColor="accent1" w:themeTint="BF"/>
              <w:right w:val="single" w:sz="8" w:space="0" w:color="7BA0CD" w:themeColor="accent1" w:themeTint="BF"/>
            </w:tcBorders>
            <w:vAlign w:val="center"/>
          </w:tcPr>
          <w:p w14:paraId="1FC6B6C1" w14:textId="66B8C186"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1%</w:t>
            </w:r>
          </w:p>
        </w:tc>
      </w:tr>
      <w:tr w:rsidR="001D310E" w:rsidRPr="00377B00" w14:paraId="6CE0370C"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17E31FAB" w14:textId="5C1EE6C5" w:rsidR="001D310E" w:rsidRPr="00D80EA3" w:rsidRDefault="001D310E" w:rsidP="00E9271C">
            <w:pPr>
              <w:pStyle w:val="Tablenormalleft"/>
              <w:jc w:val="left"/>
              <w:rPr>
                <w:color w:val="000000"/>
              </w:rPr>
            </w:pPr>
            <w:r w:rsidRPr="00EB2DFD">
              <w:t>35-0000</w:t>
            </w:r>
          </w:p>
        </w:tc>
        <w:tc>
          <w:tcPr>
            <w:tcW w:w="4320" w:type="dxa"/>
            <w:tcBorders>
              <w:left w:val="single" w:sz="8" w:space="0" w:color="7BA0CD" w:themeColor="accent1" w:themeTint="BF"/>
              <w:right w:val="single" w:sz="8" w:space="0" w:color="7BA0CD" w:themeColor="accent1" w:themeTint="BF"/>
            </w:tcBorders>
            <w:noWrap/>
            <w:vAlign w:val="center"/>
          </w:tcPr>
          <w:p w14:paraId="7F42A6ED" w14:textId="33012867"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Food Preparation and Serving Related</w:t>
            </w:r>
          </w:p>
        </w:tc>
        <w:tc>
          <w:tcPr>
            <w:tcW w:w="1440" w:type="dxa"/>
            <w:tcBorders>
              <w:left w:val="single" w:sz="8" w:space="0" w:color="7BA0CD" w:themeColor="accent1" w:themeTint="BF"/>
              <w:right w:val="single" w:sz="8" w:space="0" w:color="7BA0CD" w:themeColor="accent1" w:themeTint="BF"/>
            </w:tcBorders>
            <w:noWrap/>
            <w:vAlign w:val="center"/>
          </w:tcPr>
          <w:p w14:paraId="3B0AE110" w14:textId="45589E46"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9,607</w:t>
            </w:r>
          </w:p>
        </w:tc>
        <w:tc>
          <w:tcPr>
            <w:tcW w:w="1440" w:type="dxa"/>
            <w:tcBorders>
              <w:left w:val="single" w:sz="8" w:space="0" w:color="7BA0CD" w:themeColor="accent1" w:themeTint="BF"/>
              <w:right w:val="single" w:sz="8" w:space="0" w:color="7BA0CD" w:themeColor="accent1" w:themeTint="BF"/>
            </w:tcBorders>
            <w:noWrap/>
            <w:vAlign w:val="center"/>
          </w:tcPr>
          <w:p w14:paraId="2B68EC2B" w14:textId="2C5F3E99"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11%</w:t>
            </w:r>
          </w:p>
        </w:tc>
        <w:tc>
          <w:tcPr>
            <w:tcW w:w="1368" w:type="dxa"/>
            <w:tcBorders>
              <w:left w:val="single" w:sz="8" w:space="0" w:color="7BA0CD" w:themeColor="accent1" w:themeTint="BF"/>
              <w:right w:val="single" w:sz="8" w:space="0" w:color="7BA0CD" w:themeColor="accent1" w:themeTint="BF"/>
            </w:tcBorders>
            <w:vAlign w:val="center"/>
          </w:tcPr>
          <w:p w14:paraId="733900CA" w14:textId="7E0DFF82"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8%</w:t>
            </w:r>
          </w:p>
        </w:tc>
      </w:tr>
      <w:tr w:rsidR="001D310E" w:rsidRPr="00377B00" w14:paraId="41CB8068"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70ACB653" w14:textId="281BDB5D" w:rsidR="001D310E" w:rsidRPr="00D80EA3" w:rsidRDefault="001D310E" w:rsidP="00E9271C">
            <w:pPr>
              <w:pStyle w:val="Tablenormalleft"/>
              <w:jc w:val="left"/>
              <w:rPr>
                <w:color w:val="000000"/>
              </w:rPr>
            </w:pPr>
            <w:r w:rsidRPr="00EB2DFD">
              <w:t>37-0000</w:t>
            </w:r>
          </w:p>
        </w:tc>
        <w:tc>
          <w:tcPr>
            <w:tcW w:w="4320" w:type="dxa"/>
            <w:tcBorders>
              <w:left w:val="single" w:sz="8" w:space="0" w:color="7BA0CD" w:themeColor="accent1" w:themeTint="BF"/>
              <w:right w:val="single" w:sz="8" w:space="0" w:color="7BA0CD" w:themeColor="accent1" w:themeTint="BF"/>
            </w:tcBorders>
            <w:noWrap/>
            <w:vAlign w:val="center"/>
          </w:tcPr>
          <w:p w14:paraId="2CDB8ECE" w14:textId="65A96263"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Building and Grounds Cleaning and Maintenance</w:t>
            </w:r>
          </w:p>
        </w:tc>
        <w:tc>
          <w:tcPr>
            <w:tcW w:w="1440" w:type="dxa"/>
            <w:tcBorders>
              <w:left w:val="single" w:sz="8" w:space="0" w:color="7BA0CD" w:themeColor="accent1" w:themeTint="BF"/>
              <w:right w:val="single" w:sz="8" w:space="0" w:color="7BA0CD" w:themeColor="accent1" w:themeTint="BF"/>
            </w:tcBorders>
            <w:noWrap/>
            <w:vAlign w:val="center"/>
          </w:tcPr>
          <w:p w14:paraId="7E024A07" w14:textId="30B833F5"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2,666</w:t>
            </w:r>
          </w:p>
        </w:tc>
        <w:tc>
          <w:tcPr>
            <w:tcW w:w="1440" w:type="dxa"/>
            <w:tcBorders>
              <w:left w:val="single" w:sz="8" w:space="0" w:color="7BA0CD" w:themeColor="accent1" w:themeTint="BF"/>
              <w:right w:val="single" w:sz="8" w:space="0" w:color="7BA0CD" w:themeColor="accent1" w:themeTint="BF"/>
            </w:tcBorders>
            <w:noWrap/>
            <w:vAlign w:val="center"/>
          </w:tcPr>
          <w:p w14:paraId="38DEDC8A" w14:textId="231A880A"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3%</w:t>
            </w:r>
          </w:p>
        </w:tc>
        <w:tc>
          <w:tcPr>
            <w:tcW w:w="1368" w:type="dxa"/>
            <w:tcBorders>
              <w:left w:val="single" w:sz="8" w:space="0" w:color="7BA0CD" w:themeColor="accent1" w:themeTint="BF"/>
              <w:right w:val="single" w:sz="8" w:space="0" w:color="7BA0CD" w:themeColor="accent1" w:themeTint="BF"/>
            </w:tcBorders>
            <w:vAlign w:val="center"/>
          </w:tcPr>
          <w:p w14:paraId="58BF667C" w14:textId="39349999"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5%</w:t>
            </w:r>
          </w:p>
        </w:tc>
      </w:tr>
      <w:tr w:rsidR="001D310E" w:rsidRPr="00377B00" w14:paraId="4CE8F1AC"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3709FC0F" w14:textId="2DEA2298" w:rsidR="001D310E" w:rsidRPr="00D80EA3" w:rsidRDefault="001D310E" w:rsidP="00E9271C">
            <w:pPr>
              <w:pStyle w:val="Tablenormalleft"/>
              <w:jc w:val="left"/>
              <w:rPr>
                <w:color w:val="000000"/>
              </w:rPr>
            </w:pPr>
            <w:r w:rsidRPr="00EB2DFD">
              <w:t>39-0000</w:t>
            </w:r>
          </w:p>
        </w:tc>
        <w:tc>
          <w:tcPr>
            <w:tcW w:w="4320" w:type="dxa"/>
            <w:tcBorders>
              <w:left w:val="single" w:sz="8" w:space="0" w:color="7BA0CD" w:themeColor="accent1" w:themeTint="BF"/>
              <w:right w:val="single" w:sz="8" w:space="0" w:color="7BA0CD" w:themeColor="accent1" w:themeTint="BF"/>
            </w:tcBorders>
            <w:noWrap/>
            <w:vAlign w:val="center"/>
          </w:tcPr>
          <w:p w14:paraId="1517A2F8" w14:textId="11FE824C"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Personal Care and Service</w:t>
            </w:r>
          </w:p>
        </w:tc>
        <w:tc>
          <w:tcPr>
            <w:tcW w:w="1440" w:type="dxa"/>
            <w:tcBorders>
              <w:left w:val="single" w:sz="8" w:space="0" w:color="7BA0CD" w:themeColor="accent1" w:themeTint="BF"/>
              <w:right w:val="single" w:sz="8" w:space="0" w:color="7BA0CD" w:themeColor="accent1" w:themeTint="BF"/>
            </w:tcBorders>
            <w:noWrap/>
            <w:vAlign w:val="center"/>
          </w:tcPr>
          <w:p w14:paraId="46D3BD90" w14:textId="2B63F7B0"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24</w:t>
            </w:r>
          </w:p>
        </w:tc>
        <w:tc>
          <w:tcPr>
            <w:tcW w:w="1440" w:type="dxa"/>
            <w:tcBorders>
              <w:left w:val="single" w:sz="8" w:space="0" w:color="7BA0CD" w:themeColor="accent1" w:themeTint="BF"/>
              <w:right w:val="single" w:sz="8" w:space="0" w:color="7BA0CD" w:themeColor="accent1" w:themeTint="BF"/>
            </w:tcBorders>
            <w:noWrap/>
            <w:vAlign w:val="center"/>
          </w:tcPr>
          <w:p w14:paraId="441C235D" w14:textId="6F70EDBA"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0%</w:t>
            </w:r>
          </w:p>
        </w:tc>
        <w:tc>
          <w:tcPr>
            <w:tcW w:w="1368" w:type="dxa"/>
            <w:tcBorders>
              <w:left w:val="single" w:sz="8" w:space="0" w:color="7BA0CD" w:themeColor="accent1" w:themeTint="BF"/>
              <w:right w:val="single" w:sz="8" w:space="0" w:color="7BA0CD" w:themeColor="accent1" w:themeTint="BF"/>
            </w:tcBorders>
            <w:vAlign w:val="center"/>
          </w:tcPr>
          <w:p w14:paraId="06858FC3" w14:textId="239EAC7E"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3%</w:t>
            </w:r>
          </w:p>
        </w:tc>
      </w:tr>
      <w:tr w:rsidR="001D310E" w:rsidRPr="00377B00" w14:paraId="3FF38CFF"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1F8C386A" w14:textId="3395DCD0" w:rsidR="001D310E" w:rsidRPr="00D80EA3" w:rsidRDefault="001D310E" w:rsidP="00E9271C">
            <w:pPr>
              <w:pStyle w:val="Tablenormalleft"/>
              <w:jc w:val="left"/>
              <w:rPr>
                <w:color w:val="000000"/>
              </w:rPr>
            </w:pPr>
            <w:r w:rsidRPr="00EB2DFD">
              <w:t>41-0000</w:t>
            </w:r>
          </w:p>
        </w:tc>
        <w:tc>
          <w:tcPr>
            <w:tcW w:w="4320" w:type="dxa"/>
            <w:tcBorders>
              <w:left w:val="single" w:sz="8" w:space="0" w:color="7BA0CD" w:themeColor="accent1" w:themeTint="BF"/>
              <w:right w:val="single" w:sz="8" w:space="0" w:color="7BA0CD" w:themeColor="accent1" w:themeTint="BF"/>
            </w:tcBorders>
            <w:noWrap/>
            <w:vAlign w:val="center"/>
          </w:tcPr>
          <w:p w14:paraId="615D07AF" w14:textId="0D9DACEC"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Sales and Related</w:t>
            </w:r>
          </w:p>
        </w:tc>
        <w:tc>
          <w:tcPr>
            <w:tcW w:w="1440" w:type="dxa"/>
            <w:tcBorders>
              <w:left w:val="single" w:sz="8" w:space="0" w:color="7BA0CD" w:themeColor="accent1" w:themeTint="BF"/>
              <w:right w:val="single" w:sz="8" w:space="0" w:color="7BA0CD" w:themeColor="accent1" w:themeTint="BF"/>
            </w:tcBorders>
            <w:noWrap/>
            <w:vAlign w:val="center"/>
          </w:tcPr>
          <w:p w14:paraId="48FCA1DC" w14:textId="380C005B"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15,608</w:t>
            </w:r>
          </w:p>
        </w:tc>
        <w:tc>
          <w:tcPr>
            <w:tcW w:w="1440" w:type="dxa"/>
            <w:tcBorders>
              <w:left w:val="single" w:sz="8" w:space="0" w:color="7BA0CD" w:themeColor="accent1" w:themeTint="BF"/>
              <w:right w:val="single" w:sz="8" w:space="0" w:color="7BA0CD" w:themeColor="accent1" w:themeTint="BF"/>
            </w:tcBorders>
            <w:noWrap/>
            <w:vAlign w:val="center"/>
          </w:tcPr>
          <w:p w14:paraId="1EDA543C" w14:textId="3D71CE72"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18%</w:t>
            </w:r>
          </w:p>
        </w:tc>
        <w:tc>
          <w:tcPr>
            <w:tcW w:w="1368" w:type="dxa"/>
            <w:tcBorders>
              <w:left w:val="single" w:sz="8" w:space="0" w:color="7BA0CD" w:themeColor="accent1" w:themeTint="BF"/>
              <w:right w:val="single" w:sz="8" w:space="0" w:color="7BA0CD" w:themeColor="accent1" w:themeTint="BF"/>
            </w:tcBorders>
            <w:vAlign w:val="center"/>
          </w:tcPr>
          <w:p w14:paraId="38DE3712" w14:textId="540046B6"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11%</w:t>
            </w:r>
          </w:p>
        </w:tc>
      </w:tr>
      <w:tr w:rsidR="001D310E" w:rsidRPr="00377B00" w14:paraId="79191C1E"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7D74FC35" w14:textId="7FC932F4" w:rsidR="001D310E" w:rsidRPr="00D80EA3" w:rsidRDefault="001D310E" w:rsidP="00E9271C">
            <w:pPr>
              <w:pStyle w:val="Tablenormalleft"/>
              <w:jc w:val="left"/>
              <w:rPr>
                <w:color w:val="000000"/>
              </w:rPr>
            </w:pPr>
            <w:r w:rsidRPr="00EB2DFD">
              <w:t>43-0000</w:t>
            </w:r>
          </w:p>
        </w:tc>
        <w:tc>
          <w:tcPr>
            <w:tcW w:w="4320" w:type="dxa"/>
            <w:tcBorders>
              <w:left w:val="single" w:sz="8" w:space="0" w:color="7BA0CD" w:themeColor="accent1" w:themeTint="BF"/>
              <w:right w:val="single" w:sz="8" w:space="0" w:color="7BA0CD" w:themeColor="accent1" w:themeTint="BF"/>
            </w:tcBorders>
            <w:noWrap/>
            <w:vAlign w:val="center"/>
          </w:tcPr>
          <w:p w14:paraId="0BFC7AD6" w14:textId="0C770FAB"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Office and Administrative Support</w:t>
            </w:r>
          </w:p>
        </w:tc>
        <w:tc>
          <w:tcPr>
            <w:tcW w:w="1440" w:type="dxa"/>
            <w:tcBorders>
              <w:left w:val="single" w:sz="8" w:space="0" w:color="7BA0CD" w:themeColor="accent1" w:themeTint="BF"/>
              <w:right w:val="single" w:sz="8" w:space="0" w:color="7BA0CD" w:themeColor="accent1" w:themeTint="BF"/>
            </w:tcBorders>
            <w:noWrap/>
            <w:vAlign w:val="center"/>
          </w:tcPr>
          <w:p w14:paraId="700127B3" w14:textId="5B82448D"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6,373</w:t>
            </w:r>
          </w:p>
        </w:tc>
        <w:tc>
          <w:tcPr>
            <w:tcW w:w="1440" w:type="dxa"/>
            <w:tcBorders>
              <w:left w:val="single" w:sz="8" w:space="0" w:color="7BA0CD" w:themeColor="accent1" w:themeTint="BF"/>
              <w:right w:val="single" w:sz="8" w:space="0" w:color="7BA0CD" w:themeColor="accent1" w:themeTint="BF"/>
            </w:tcBorders>
            <w:noWrap/>
            <w:vAlign w:val="center"/>
          </w:tcPr>
          <w:p w14:paraId="775CF490" w14:textId="4635872E"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7%</w:t>
            </w:r>
          </w:p>
        </w:tc>
        <w:tc>
          <w:tcPr>
            <w:tcW w:w="1368" w:type="dxa"/>
            <w:tcBorders>
              <w:left w:val="single" w:sz="8" w:space="0" w:color="7BA0CD" w:themeColor="accent1" w:themeTint="BF"/>
              <w:right w:val="single" w:sz="8" w:space="0" w:color="7BA0CD" w:themeColor="accent1" w:themeTint="BF"/>
            </w:tcBorders>
            <w:vAlign w:val="center"/>
          </w:tcPr>
          <w:p w14:paraId="441F1FF0" w14:textId="12750938"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14%</w:t>
            </w:r>
          </w:p>
        </w:tc>
      </w:tr>
      <w:tr w:rsidR="001D310E" w:rsidRPr="00377B00" w14:paraId="55316C59"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5358943F" w14:textId="50218F52" w:rsidR="001D310E" w:rsidRPr="00D80EA3" w:rsidRDefault="001D310E" w:rsidP="00E9271C">
            <w:pPr>
              <w:pStyle w:val="Tablenormalleft"/>
              <w:jc w:val="left"/>
              <w:rPr>
                <w:color w:val="000000"/>
              </w:rPr>
            </w:pPr>
            <w:r w:rsidRPr="00EB2DFD">
              <w:t>45-0000</w:t>
            </w:r>
          </w:p>
        </w:tc>
        <w:tc>
          <w:tcPr>
            <w:tcW w:w="4320" w:type="dxa"/>
            <w:tcBorders>
              <w:left w:val="single" w:sz="8" w:space="0" w:color="7BA0CD" w:themeColor="accent1" w:themeTint="BF"/>
              <w:right w:val="single" w:sz="8" w:space="0" w:color="7BA0CD" w:themeColor="accent1" w:themeTint="BF"/>
            </w:tcBorders>
            <w:noWrap/>
            <w:vAlign w:val="center"/>
          </w:tcPr>
          <w:p w14:paraId="083C1DB7" w14:textId="0BEC4ADB"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Farming, Fishing, and Forestry</w:t>
            </w:r>
          </w:p>
        </w:tc>
        <w:tc>
          <w:tcPr>
            <w:tcW w:w="1440" w:type="dxa"/>
            <w:tcBorders>
              <w:left w:val="single" w:sz="8" w:space="0" w:color="7BA0CD" w:themeColor="accent1" w:themeTint="BF"/>
              <w:right w:val="single" w:sz="8" w:space="0" w:color="7BA0CD" w:themeColor="accent1" w:themeTint="BF"/>
            </w:tcBorders>
            <w:noWrap/>
            <w:vAlign w:val="center"/>
          </w:tcPr>
          <w:p w14:paraId="054CAD62" w14:textId="3B42AE45"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16,866</w:t>
            </w:r>
          </w:p>
        </w:tc>
        <w:tc>
          <w:tcPr>
            <w:tcW w:w="1440" w:type="dxa"/>
            <w:tcBorders>
              <w:left w:val="single" w:sz="8" w:space="0" w:color="7BA0CD" w:themeColor="accent1" w:themeTint="BF"/>
              <w:right w:val="single" w:sz="8" w:space="0" w:color="7BA0CD" w:themeColor="accent1" w:themeTint="BF"/>
            </w:tcBorders>
            <w:noWrap/>
            <w:vAlign w:val="center"/>
          </w:tcPr>
          <w:p w14:paraId="69A4290B" w14:textId="75172046"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20%</w:t>
            </w:r>
          </w:p>
        </w:tc>
        <w:tc>
          <w:tcPr>
            <w:tcW w:w="1368" w:type="dxa"/>
            <w:tcBorders>
              <w:left w:val="single" w:sz="8" w:space="0" w:color="7BA0CD" w:themeColor="accent1" w:themeTint="BF"/>
              <w:right w:val="single" w:sz="8" w:space="0" w:color="7BA0CD" w:themeColor="accent1" w:themeTint="BF"/>
            </w:tcBorders>
            <w:vAlign w:val="center"/>
          </w:tcPr>
          <w:p w14:paraId="59C77DC9" w14:textId="2F0C8134"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1%</w:t>
            </w:r>
          </w:p>
        </w:tc>
      </w:tr>
      <w:tr w:rsidR="001D310E" w:rsidRPr="00377B00" w14:paraId="13CD6C82"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6416747C" w14:textId="5D756E21" w:rsidR="001D310E" w:rsidRPr="00D80EA3" w:rsidRDefault="001D310E" w:rsidP="00E9271C">
            <w:pPr>
              <w:pStyle w:val="Tablenormalleft"/>
              <w:jc w:val="left"/>
              <w:rPr>
                <w:color w:val="000000"/>
              </w:rPr>
            </w:pPr>
            <w:r w:rsidRPr="00EB2DFD">
              <w:t>47-0000</w:t>
            </w:r>
          </w:p>
        </w:tc>
        <w:tc>
          <w:tcPr>
            <w:tcW w:w="4320" w:type="dxa"/>
            <w:tcBorders>
              <w:left w:val="single" w:sz="8" w:space="0" w:color="7BA0CD" w:themeColor="accent1" w:themeTint="BF"/>
              <w:right w:val="single" w:sz="8" w:space="0" w:color="7BA0CD" w:themeColor="accent1" w:themeTint="BF"/>
            </w:tcBorders>
            <w:noWrap/>
            <w:vAlign w:val="center"/>
          </w:tcPr>
          <w:p w14:paraId="4C7FB74D" w14:textId="43DEFA86"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Construction and Extraction</w:t>
            </w:r>
          </w:p>
        </w:tc>
        <w:tc>
          <w:tcPr>
            <w:tcW w:w="1440" w:type="dxa"/>
            <w:tcBorders>
              <w:left w:val="single" w:sz="8" w:space="0" w:color="7BA0CD" w:themeColor="accent1" w:themeTint="BF"/>
              <w:right w:val="single" w:sz="8" w:space="0" w:color="7BA0CD" w:themeColor="accent1" w:themeTint="BF"/>
            </w:tcBorders>
            <w:noWrap/>
            <w:vAlign w:val="center"/>
          </w:tcPr>
          <w:p w14:paraId="5AA7E148" w14:textId="4E37E1BA"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53</w:t>
            </w:r>
          </w:p>
        </w:tc>
        <w:tc>
          <w:tcPr>
            <w:tcW w:w="1440" w:type="dxa"/>
            <w:tcBorders>
              <w:left w:val="single" w:sz="8" w:space="0" w:color="7BA0CD" w:themeColor="accent1" w:themeTint="BF"/>
              <w:right w:val="single" w:sz="8" w:space="0" w:color="7BA0CD" w:themeColor="accent1" w:themeTint="BF"/>
            </w:tcBorders>
            <w:noWrap/>
            <w:vAlign w:val="center"/>
          </w:tcPr>
          <w:p w14:paraId="757A7EF7" w14:textId="0CD65D47"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0%</w:t>
            </w:r>
          </w:p>
        </w:tc>
        <w:tc>
          <w:tcPr>
            <w:tcW w:w="1368" w:type="dxa"/>
            <w:tcBorders>
              <w:left w:val="single" w:sz="8" w:space="0" w:color="7BA0CD" w:themeColor="accent1" w:themeTint="BF"/>
              <w:right w:val="single" w:sz="8" w:space="0" w:color="7BA0CD" w:themeColor="accent1" w:themeTint="BF"/>
            </w:tcBorders>
            <w:vAlign w:val="center"/>
          </w:tcPr>
          <w:p w14:paraId="7765B493" w14:textId="036E14D5"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8%</w:t>
            </w:r>
          </w:p>
        </w:tc>
      </w:tr>
      <w:tr w:rsidR="001D310E" w:rsidRPr="00377B00" w14:paraId="7B36BF24"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4AC86981" w14:textId="0967FD9C" w:rsidR="001D310E" w:rsidRPr="00D80EA3" w:rsidRDefault="001D310E" w:rsidP="00E9271C">
            <w:pPr>
              <w:pStyle w:val="Tablenormalleft"/>
              <w:jc w:val="left"/>
              <w:rPr>
                <w:color w:val="000000"/>
              </w:rPr>
            </w:pPr>
            <w:r w:rsidRPr="00EB2DFD">
              <w:t>49-0000</w:t>
            </w:r>
          </w:p>
        </w:tc>
        <w:tc>
          <w:tcPr>
            <w:tcW w:w="4320" w:type="dxa"/>
            <w:tcBorders>
              <w:left w:val="single" w:sz="8" w:space="0" w:color="7BA0CD" w:themeColor="accent1" w:themeTint="BF"/>
              <w:right w:val="single" w:sz="8" w:space="0" w:color="7BA0CD" w:themeColor="accent1" w:themeTint="BF"/>
            </w:tcBorders>
            <w:noWrap/>
            <w:vAlign w:val="center"/>
          </w:tcPr>
          <w:p w14:paraId="05844F23" w14:textId="494BC8C4"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Installation, Maintenance, and Repair</w:t>
            </w:r>
          </w:p>
        </w:tc>
        <w:tc>
          <w:tcPr>
            <w:tcW w:w="1440" w:type="dxa"/>
            <w:tcBorders>
              <w:left w:val="single" w:sz="8" w:space="0" w:color="7BA0CD" w:themeColor="accent1" w:themeTint="BF"/>
              <w:right w:val="single" w:sz="8" w:space="0" w:color="7BA0CD" w:themeColor="accent1" w:themeTint="BF"/>
            </w:tcBorders>
            <w:noWrap/>
            <w:vAlign w:val="center"/>
          </w:tcPr>
          <w:p w14:paraId="3FDC99F4" w14:textId="26454848"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1,150</w:t>
            </w:r>
          </w:p>
        </w:tc>
        <w:tc>
          <w:tcPr>
            <w:tcW w:w="1440" w:type="dxa"/>
            <w:tcBorders>
              <w:left w:val="single" w:sz="8" w:space="0" w:color="7BA0CD" w:themeColor="accent1" w:themeTint="BF"/>
              <w:right w:val="single" w:sz="8" w:space="0" w:color="7BA0CD" w:themeColor="accent1" w:themeTint="BF"/>
            </w:tcBorders>
            <w:noWrap/>
            <w:vAlign w:val="center"/>
          </w:tcPr>
          <w:p w14:paraId="0D0AEDE0" w14:textId="59EE67D7"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1%</w:t>
            </w:r>
          </w:p>
        </w:tc>
        <w:tc>
          <w:tcPr>
            <w:tcW w:w="1368" w:type="dxa"/>
            <w:tcBorders>
              <w:left w:val="single" w:sz="8" w:space="0" w:color="7BA0CD" w:themeColor="accent1" w:themeTint="BF"/>
              <w:right w:val="single" w:sz="8" w:space="0" w:color="7BA0CD" w:themeColor="accent1" w:themeTint="BF"/>
            </w:tcBorders>
            <w:vAlign w:val="center"/>
          </w:tcPr>
          <w:p w14:paraId="775461BE" w14:textId="4713F9DF"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2%</w:t>
            </w:r>
          </w:p>
        </w:tc>
      </w:tr>
      <w:tr w:rsidR="001D310E" w:rsidRPr="00377B00" w14:paraId="5DBAF3AC"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7E4FB180" w14:textId="164D117B" w:rsidR="001D310E" w:rsidRPr="00D80EA3" w:rsidRDefault="001D310E" w:rsidP="00E9271C">
            <w:pPr>
              <w:pStyle w:val="Tablenormalleft"/>
              <w:jc w:val="left"/>
              <w:rPr>
                <w:color w:val="000000"/>
              </w:rPr>
            </w:pPr>
            <w:r w:rsidRPr="00EB2DFD">
              <w:lastRenderedPageBreak/>
              <w:t>51-0000</w:t>
            </w:r>
          </w:p>
        </w:tc>
        <w:tc>
          <w:tcPr>
            <w:tcW w:w="4320" w:type="dxa"/>
            <w:tcBorders>
              <w:left w:val="single" w:sz="8" w:space="0" w:color="7BA0CD" w:themeColor="accent1" w:themeTint="BF"/>
              <w:right w:val="single" w:sz="8" w:space="0" w:color="7BA0CD" w:themeColor="accent1" w:themeTint="BF"/>
            </w:tcBorders>
            <w:noWrap/>
            <w:vAlign w:val="center"/>
          </w:tcPr>
          <w:p w14:paraId="52596B38" w14:textId="74A458EF"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Production</w:t>
            </w:r>
          </w:p>
        </w:tc>
        <w:tc>
          <w:tcPr>
            <w:tcW w:w="1440" w:type="dxa"/>
            <w:tcBorders>
              <w:left w:val="single" w:sz="8" w:space="0" w:color="7BA0CD" w:themeColor="accent1" w:themeTint="BF"/>
              <w:right w:val="single" w:sz="8" w:space="0" w:color="7BA0CD" w:themeColor="accent1" w:themeTint="BF"/>
            </w:tcBorders>
            <w:noWrap/>
            <w:vAlign w:val="center"/>
          </w:tcPr>
          <w:p w14:paraId="4B731697" w14:textId="25B71A67"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9,194</w:t>
            </w:r>
          </w:p>
        </w:tc>
        <w:tc>
          <w:tcPr>
            <w:tcW w:w="1440" w:type="dxa"/>
            <w:tcBorders>
              <w:left w:val="single" w:sz="8" w:space="0" w:color="7BA0CD" w:themeColor="accent1" w:themeTint="BF"/>
              <w:right w:val="single" w:sz="8" w:space="0" w:color="7BA0CD" w:themeColor="accent1" w:themeTint="BF"/>
            </w:tcBorders>
            <w:noWrap/>
            <w:vAlign w:val="center"/>
          </w:tcPr>
          <w:p w14:paraId="19367121" w14:textId="54EFA9C4"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11%</w:t>
            </w:r>
          </w:p>
        </w:tc>
        <w:tc>
          <w:tcPr>
            <w:tcW w:w="1368" w:type="dxa"/>
            <w:tcBorders>
              <w:left w:val="single" w:sz="8" w:space="0" w:color="7BA0CD" w:themeColor="accent1" w:themeTint="BF"/>
              <w:right w:val="single" w:sz="8" w:space="0" w:color="7BA0CD" w:themeColor="accent1" w:themeTint="BF"/>
            </w:tcBorders>
            <w:vAlign w:val="center"/>
          </w:tcPr>
          <w:p w14:paraId="589EC366" w14:textId="63528FD9"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6%</w:t>
            </w:r>
          </w:p>
        </w:tc>
      </w:tr>
      <w:tr w:rsidR="001D310E" w:rsidRPr="00377B00" w14:paraId="265E32CA" w14:textId="77777777" w:rsidTr="001D310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noWrap/>
            <w:vAlign w:val="center"/>
          </w:tcPr>
          <w:p w14:paraId="68230298" w14:textId="2FF1956C" w:rsidR="001D310E" w:rsidRPr="00D80EA3" w:rsidRDefault="001D310E" w:rsidP="00E9271C">
            <w:pPr>
              <w:pStyle w:val="Tablenormalleft"/>
              <w:jc w:val="left"/>
              <w:rPr>
                <w:color w:val="000000"/>
              </w:rPr>
            </w:pPr>
            <w:r w:rsidRPr="00EB2DFD">
              <w:t>53-0000</w:t>
            </w:r>
          </w:p>
        </w:tc>
        <w:tc>
          <w:tcPr>
            <w:tcW w:w="4320" w:type="dxa"/>
            <w:tcBorders>
              <w:left w:val="single" w:sz="8" w:space="0" w:color="7BA0CD" w:themeColor="accent1" w:themeTint="BF"/>
              <w:right w:val="single" w:sz="8" w:space="0" w:color="7BA0CD" w:themeColor="accent1" w:themeTint="BF"/>
            </w:tcBorders>
            <w:noWrap/>
            <w:vAlign w:val="center"/>
          </w:tcPr>
          <w:p w14:paraId="22277DC0" w14:textId="4A24C212" w:rsidR="001D310E" w:rsidRPr="00D80EA3" w:rsidRDefault="001D310E" w:rsidP="00E9271C">
            <w:pPr>
              <w:pStyle w:val="Tablenormalleft"/>
              <w:jc w:val="left"/>
              <w:cnfStyle w:val="000000100000" w:firstRow="0" w:lastRow="0" w:firstColumn="0" w:lastColumn="0" w:oddVBand="0" w:evenVBand="0" w:oddHBand="1" w:evenHBand="0" w:firstRowFirstColumn="0" w:firstRowLastColumn="0" w:lastRowFirstColumn="0" w:lastRowLastColumn="0"/>
              <w:rPr>
                <w:color w:val="000000"/>
              </w:rPr>
            </w:pPr>
            <w:r w:rsidRPr="00A77C6E">
              <w:t>Transportation and Material Moving</w:t>
            </w:r>
          </w:p>
        </w:tc>
        <w:tc>
          <w:tcPr>
            <w:tcW w:w="1440" w:type="dxa"/>
            <w:tcBorders>
              <w:left w:val="single" w:sz="8" w:space="0" w:color="7BA0CD" w:themeColor="accent1" w:themeTint="BF"/>
              <w:right w:val="single" w:sz="8" w:space="0" w:color="7BA0CD" w:themeColor="accent1" w:themeTint="BF"/>
            </w:tcBorders>
            <w:noWrap/>
            <w:vAlign w:val="center"/>
          </w:tcPr>
          <w:p w14:paraId="6010043E" w14:textId="73C36990"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4,439</w:t>
            </w:r>
          </w:p>
        </w:tc>
        <w:tc>
          <w:tcPr>
            <w:tcW w:w="1440" w:type="dxa"/>
            <w:tcBorders>
              <w:left w:val="single" w:sz="8" w:space="0" w:color="7BA0CD" w:themeColor="accent1" w:themeTint="BF"/>
              <w:right w:val="single" w:sz="8" w:space="0" w:color="7BA0CD" w:themeColor="accent1" w:themeTint="BF"/>
            </w:tcBorders>
            <w:noWrap/>
            <w:vAlign w:val="center"/>
          </w:tcPr>
          <w:p w14:paraId="617FA207" w14:textId="17DD173D" w:rsidR="001D310E" w:rsidRPr="00D80EA3" w:rsidRDefault="001D310E" w:rsidP="001D310E">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670CCA">
              <w:t>5%</w:t>
            </w:r>
          </w:p>
        </w:tc>
        <w:tc>
          <w:tcPr>
            <w:tcW w:w="1368" w:type="dxa"/>
            <w:tcBorders>
              <w:left w:val="single" w:sz="8" w:space="0" w:color="7BA0CD" w:themeColor="accent1" w:themeTint="BF"/>
              <w:right w:val="single" w:sz="8" w:space="0" w:color="7BA0CD" w:themeColor="accent1" w:themeTint="BF"/>
            </w:tcBorders>
            <w:vAlign w:val="center"/>
          </w:tcPr>
          <w:p w14:paraId="7877C8C5" w14:textId="37B8E68B" w:rsidR="001D310E" w:rsidRPr="00D80EA3" w:rsidRDefault="001D310E" w:rsidP="002D0B4C">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933C0">
              <w:t>8%</w:t>
            </w:r>
          </w:p>
        </w:tc>
      </w:tr>
      <w:tr w:rsidR="001D310E" w:rsidRPr="00377B00" w14:paraId="7AC960A4" w14:textId="77777777" w:rsidTr="001D310E">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bottom w:val="single" w:sz="8" w:space="0" w:color="7BA0CD" w:themeColor="accent1" w:themeTint="BF"/>
              <w:right w:val="single" w:sz="8" w:space="0" w:color="7BA0CD" w:themeColor="accent1" w:themeTint="BF"/>
            </w:tcBorders>
            <w:noWrap/>
            <w:vAlign w:val="center"/>
          </w:tcPr>
          <w:p w14:paraId="06CF47BA" w14:textId="183D7A92" w:rsidR="001D310E" w:rsidRPr="00D80EA3" w:rsidRDefault="001D310E" w:rsidP="00E9271C">
            <w:pPr>
              <w:pStyle w:val="Tablenormalleft"/>
              <w:jc w:val="left"/>
              <w:rPr>
                <w:color w:val="000000"/>
              </w:rPr>
            </w:pPr>
            <w:r w:rsidRPr="00EB2DFD">
              <w:t>99-0000</w:t>
            </w:r>
          </w:p>
        </w:tc>
        <w:tc>
          <w:tcPr>
            <w:tcW w:w="432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8FF63F7" w14:textId="551B7A5E" w:rsidR="001D310E" w:rsidRPr="00D80EA3" w:rsidRDefault="001D310E" w:rsidP="00E9271C">
            <w:pPr>
              <w:pStyle w:val="Tablenormalleft"/>
              <w:jc w:val="left"/>
              <w:cnfStyle w:val="000000010000" w:firstRow="0" w:lastRow="0" w:firstColumn="0" w:lastColumn="0" w:oddVBand="0" w:evenVBand="0" w:oddHBand="0" w:evenHBand="1" w:firstRowFirstColumn="0" w:firstRowLastColumn="0" w:lastRowFirstColumn="0" w:lastRowLastColumn="0"/>
              <w:rPr>
                <w:color w:val="000000"/>
              </w:rPr>
            </w:pPr>
            <w:r w:rsidRPr="00A77C6E">
              <w:t>No Previous Work Experience/Unspecified</w:t>
            </w:r>
          </w:p>
        </w:tc>
        <w:tc>
          <w:tcPr>
            <w:tcW w:w="144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8AAD9D0" w14:textId="510EB7B0"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10,988</w:t>
            </w:r>
          </w:p>
        </w:tc>
        <w:tc>
          <w:tcPr>
            <w:tcW w:w="144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D72EDA9" w14:textId="53D13BC0" w:rsidR="001D310E" w:rsidRPr="00D80EA3" w:rsidRDefault="001D310E" w:rsidP="001D310E">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670CCA">
              <w:t>13%</w:t>
            </w:r>
          </w:p>
        </w:tc>
        <w:tc>
          <w:tcPr>
            <w:tcW w:w="1368"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D1431DB" w14:textId="67E569CC" w:rsidR="001D310E" w:rsidRPr="00D80EA3" w:rsidRDefault="001D310E" w:rsidP="002D0B4C">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933C0">
              <w:t>11%</w:t>
            </w:r>
          </w:p>
        </w:tc>
      </w:tr>
      <w:tr w:rsidR="006D1C88" w:rsidRPr="00377B00" w14:paraId="40D043B2" w14:textId="77777777" w:rsidTr="007751D8">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9576" w:type="dxa"/>
            <w:gridSpan w:val="5"/>
            <w:tcBorders>
              <w:left w:val="nil"/>
              <w:bottom w:val="nil"/>
              <w:right w:val="nil"/>
            </w:tcBorders>
            <w:shd w:val="clear" w:color="auto" w:fill="auto"/>
            <w:noWrap/>
          </w:tcPr>
          <w:p w14:paraId="1A8D7BBA" w14:textId="700CEE90" w:rsidR="006D1C88" w:rsidRPr="00A07E93" w:rsidRDefault="00E014B6" w:rsidP="00B13C13">
            <w:pPr>
              <w:pStyle w:val="Tablefooterlastline"/>
              <w:rPr>
                <w:rFonts w:ascii="Calibri" w:hAnsi="Calibri"/>
                <w:szCs w:val="18"/>
              </w:rPr>
            </w:pPr>
            <w:r w:rsidRPr="00A07E93">
              <w:t>Sou</w:t>
            </w:r>
            <w:r w:rsidR="006C38C7">
              <w:t>CCC</w:t>
            </w:r>
            <w:r w:rsidRPr="00A07E93">
              <w:t>e: EMSI Total Unemployment (</w:t>
            </w:r>
            <w:r w:rsidR="00B13C13">
              <w:t>5</w:t>
            </w:r>
            <w:r w:rsidRPr="00A07E93">
              <w:t>/2014)</w:t>
            </w:r>
          </w:p>
        </w:tc>
      </w:tr>
    </w:tbl>
    <w:p w14:paraId="04A803AF" w14:textId="594085BA" w:rsidR="007F03C2" w:rsidRDefault="001D310E" w:rsidP="006F6179">
      <w:r>
        <w:t>Most</w:t>
      </w:r>
      <w:r w:rsidR="006F6179">
        <w:t xml:space="preserve"> of</w:t>
      </w:r>
      <w:r>
        <w:t xml:space="preserve"> the</w:t>
      </w:r>
      <w:r w:rsidR="006F6179">
        <w:t xml:space="preserve"> occupation groups have a concentration of unemployed workers that is either at or below the national average, including </w:t>
      </w:r>
      <w:r w:rsidR="00BF2D77">
        <w:t>construction &amp; extraction</w:t>
      </w:r>
      <w:r w:rsidR="006A74F3" w:rsidRPr="006A74F3">
        <w:t xml:space="preserve"> </w:t>
      </w:r>
      <w:r w:rsidR="006A74F3">
        <w:t>o</w:t>
      </w:r>
      <w:r w:rsidR="006A74F3" w:rsidRPr="006A74F3">
        <w:t>ccupations</w:t>
      </w:r>
      <w:r w:rsidR="00B95487">
        <w:t xml:space="preserve">, </w:t>
      </w:r>
      <w:r w:rsidR="00842329">
        <w:t xml:space="preserve">office &amp; administrative support occupations, </w:t>
      </w:r>
      <w:r w:rsidR="00B95487">
        <w:t xml:space="preserve">and </w:t>
      </w:r>
      <w:r w:rsidR="004846C7">
        <w:t>transportation &amp; material moving</w:t>
      </w:r>
      <w:r w:rsidR="00B95487">
        <w:t xml:space="preserve"> occupations</w:t>
      </w:r>
      <w:r w:rsidR="006F6179">
        <w:t xml:space="preserve">. </w:t>
      </w:r>
      <w:r>
        <w:t xml:space="preserve">Farming, fishing, &amp; forestry </w:t>
      </w:r>
      <w:r w:rsidR="004846C7">
        <w:t>occupations and f</w:t>
      </w:r>
      <w:r w:rsidR="00F21089">
        <w:t>ood preparation &amp; serving related</w:t>
      </w:r>
      <w:r w:rsidR="00585590">
        <w:t xml:space="preserve"> occupations</w:t>
      </w:r>
      <w:r w:rsidR="002D0B4C">
        <w:t xml:space="preserve"> </w:t>
      </w:r>
      <w:r w:rsidR="000C292D">
        <w:t xml:space="preserve">have a </w:t>
      </w:r>
      <w:r w:rsidR="0074249C">
        <w:t xml:space="preserve">much </w:t>
      </w:r>
      <w:r w:rsidR="000C292D">
        <w:t>higher concentration of unemployed than at the national level.</w:t>
      </w:r>
      <w:r w:rsidR="007F03C2">
        <w:t xml:space="preserve"> </w:t>
      </w:r>
    </w:p>
    <w:p w14:paraId="42135B24" w14:textId="2FF2A239" w:rsidR="00ED1C7E" w:rsidRDefault="00ED1C7E" w:rsidP="00655419">
      <w:pPr>
        <w:pStyle w:val="FigureTitle"/>
        <w:keepNext/>
      </w:pPr>
      <w:r w:rsidRPr="006D1C88">
        <w:t xml:space="preserve">Figure </w:t>
      </w:r>
      <w:r w:rsidR="00E067A0">
        <w:t>1.</w:t>
      </w:r>
      <w:r w:rsidR="009C0059">
        <w:t>8</w:t>
      </w:r>
      <w:r w:rsidRPr="006D1C88">
        <w:t xml:space="preserve">: </w:t>
      </w:r>
      <w:r w:rsidR="00396CD0">
        <w:t xml:space="preserve">Number of Unemployed Workers by Occupation Group in </w:t>
      </w:r>
      <w:r w:rsidR="006C38C7">
        <w:t>CCC</w:t>
      </w:r>
      <w:r w:rsidR="00396CD0">
        <w:t xml:space="preserve"> </w:t>
      </w:r>
      <w:r w:rsidR="00B101E7">
        <w:t>Economic Region</w:t>
      </w:r>
    </w:p>
    <w:p w14:paraId="11717454" w14:textId="5F2018F5" w:rsidR="007B291C" w:rsidRDefault="00842329" w:rsidP="007B291C">
      <w:pPr>
        <w:rPr>
          <w:rFonts w:eastAsiaTheme="majorEastAsia"/>
        </w:rPr>
      </w:pPr>
      <w:r>
        <w:rPr>
          <w:noProof/>
        </w:rPr>
        <w:drawing>
          <wp:inline distT="0" distB="0" distL="0" distR="0" wp14:anchorId="6D6A4C4A" wp14:editId="23A42E30">
            <wp:extent cx="5743575" cy="49625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A576B8" w14:textId="40C995D6" w:rsidR="0064030A" w:rsidRDefault="0064030A" w:rsidP="0064030A">
      <w:pPr>
        <w:pStyle w:val="Tablefooterlastline"/>
        <w:jc w:val="right"/>
        <w:rPr>
          <w:rFonts w:eastAsiaTheme="majorEastAsia"/>
        </w:rPr>
      </w:pPr>
      <w:r>
        <w:rPr>
          <w:rFonts w:eastAsiaTheme="majorEastAsia"/>
        </w:rPr>
        <w:t>Sou</w:t>
      </w:r>
      <w:r w:rsidR="006C38C7">
        <w:rPr>
          <w:rFonts w:eastAsiaTheme="majorEastAsia"/>
        </w:rPr>
        <w:t>CCC</w:t>
      </w:r>
      <w:r>
        <w:rPr>
          <w:rFonts w:eastAsiaTheme="majorEastAsia"/>
        </w:rPr>
        <w:t>e: EMSI Total Unemployment (</w:t>
      </w:r>
      <w:r w:rsidR="00B13C13">
        <w:rPr>
          <w:rFonts w:eastAsiaTheme="majorEastAsia"/>
        </w:rPr>
        <w:t>5</w:t>
      </w:r>
      <w:r w:rsidR="002D0B4C">
        <w:rPr>
          <w:rFonts w:eastAsiaTheme="majorEastAsia"/>
        </w:rPr>
        <w:t>/2014)</w:t>
      </w:r>
    </w:p>
    <w:p w14:paraId="7064069A" w14:textId="77777777" w:rsidR="00B042E3" w:rsidRDefault="00B042E3">
      <w:pPr>
        <w:spacing w:before="0" w:after="200" w:line="276" w:lineRule="auto"/>
        <w:jc w:val="left"/>
        <w:rPr>
          <w:rFonts w:ascii="Arial" w:hAnsi="Arial" w:cs="Arial"/>
          <w:b/>
          <w:bCs/>
          <w:iCs/>
          <w:sz w:val="30"/>
          <w:szCs w:val="30"/>
        </w:rPr>
      </w:pPr>
      <w:r>
        <w:br w:type="page"/>
      </w:r>
    </w:p>
    <w:p w14:paraId="164ACA4C" w14:textId="76DBFC1E" w:rsidR="0026531D" w:rsidRPr="007B291C" w:rsidRDefault="0026531D" w:rsidP="00384961">
      <w:pPr>
        <w:pStyle w:val="Heading2"/>
        <w:keepNext w:val="0"/>
      </w:pPr>
      <w:bookmarkStart w:id="13" w:name="_Toc428785410"/>
      <w:r w:rsidRPr="007B291C">
        <w:lastRenderedPageBreak/>
        <w:t xml:space="preserve">Educational </w:t>
      </w:r>
      <w:r w:rsidR="00763F71" w:rsidRPr="007B291C">
        <w:t>Attainment</w:t>
      </w:r>
      <w:bookmarkEnd w:id="13"/>
      <w:r w:rsidR="00763F71" w:rsidRPr="007B291C">
        <w:t xml:space="preserve"> </w:t>
      </w:r>
    </w:p>
    <w:p w14:paraId="77A169CB" w14:textId="036C4CFC" w:rsidR="00195E7B" w:rsidRPr="00475E2D" w:rsidRDefault="001A6A8F" w:rsidP="00FF5D7C">
      <w:r>
        <w:t>This section</w:t>
      </w:r>
      <w:r w:rsidR="00195E7B">
        <w:t xml:space="preserve"> describes the educational attainment of the population </w:t>
      </w:r>
      <w:r w:rsidR="007751D8">
        <w:t xml:space="preserve">in </w:t>
      </w:r>
      <w:r w:rsidR="006628FA">
        <w:t xml:space="preserve">the </w:t>
      </w:r>
      <w:r w:rsidR="006C38C7">
        <w:t>CCC</w:t>
      </w:r>
      <w:r w:rsidR="006628FA">
        <w:t xml:space="preserve"> </w:t>
      </w:r>
      <w:r w:rsidR="00B101E7">
        <w:t>Economic Region</w:t>
      </w:r>
      <w:r w:rsidR="007751D8">
        <w:t xml:space="preserve"> </w:t>
      </w:r>
      <w:r w:rsidR="00195E7B">
        <w:t xml:space="preserve">for adults </w:t>
      </w:r>
      <w:r>
        <w:t xml:space="preserve">aged </w:t>
      </w:r>
      <w:r w:rsidR="007751D8">
        <w:t>25 years and older</w:t>
      </w:r>
      <w:r w:rsidR="00856B4C">
        <w:t xml:space="preserve">. This information is useful for </w:t>
      </w:r>
      <w:r>
        <w:t xml:space="preserve">educators </w:t>
      </w:r>
      <w:r w:rsidR="007B291C">
        <w:t>target</w:t>
      </w:r>
      <w:r>
        <w:t>ing</w:t>
      </w:r>
      <w:r w:rsidR="007B291C">
        <w:t xml:space="preserve"> </w:t>
      </w:r>
      <w:r>
        <w:t xml:space="preserve">specific </w:t>
      </w:r>
      <w:r w:rsidR="007B291C">
        <w:t>population groups</w:t>
      </w:r>
      <w:r w:rsidR="00272371">
        <w:t xml:space="preserve"> </w:t>
      </w:r>
      <w:r w:rsidR="00433E4D">
        <w:t xml:space="preserve">that have </w:t>
      </w:r>
      <w:r>
        <w:t>low education levels</w:t>
      </w:r>
      <w:r w:rsidR="00272371">
        <w:t>.</w:t>
      </w:r>
      <w:r w:rsidR="00856B4C">
        <w:t xml:space="preserve"> </w:t>
      </w:r>
      <w:r>
        <w:t>E</w:t>
      </w:r>
      <w:r w:rsidR="00195E7B">
        <w:t xml:space="preserve">ducational attainment </w:t>
      </w:r>
      <w:r>
        <w:t xml:space="preserve">data </w:t>
      </w:r>
      <w:r w:rsidR="00433E4D">
        <w:t xml:space="preserve">in this section </w:t>
      </w:r>
      <w:r w:rsidR="00385498">
        <w:t xml:space="preserve">are </w:t>
      </w:r>
      <w:r w:rsidR="00433E4D">
        <w:t xml:space="preserve">presented by gender and by ethnicity and </w:t>
      </w:r>
      <w:r w:rsidR="00385498">
        <w:t xml:space="preserve">are </w:t>
      </w:r>
      <w:r w:rsidR="00195E7B">
        <w:t xml:space="preserve">broken out </w:t>
      </w:r>
      <w:r w:rsidR="00D30516">
        <w:t>according</w:t>
      </w:r>
      <w:r w:rsidR="00433E4D">
        <w:t xml:space="preserve"> to the following categories</w:t>
      </w:r>
      <w:r w:rsidR="00195E7B">
        <w:t>: 1) less than a high school degree</w:t>
      </w:r>
      <w:r w:rsidR="002903B4">
        <w:t>,</w:t>
      </w:r>
      <w:r w:rsidR="00195E7B">
        <w:t xml:space="preserve"> 2) high school degree</w:t>
      </w:r>
      <w:r w:rsidR="002903B4">
        <w:t>,</w:t>
      </w:r>
      <w:r w:rsidR="00195E7B">
        <w:t xml:space="preserve"> 3) some college</w:t>
      </w:r>
      <w:r w:rsidR="002903B4">
        <w:t>,</w:t>
      </w:r>
      <w:r w:rsidR="00195E7B">
        <w:rPr>
          <w:rStyle w:val="FootnoteReference"/>
          <w:rFonts w:asciiTheme="minorHAnsi" w:hAnsiTheme="minorHAnsi" w:cstheme="minorHAnsi"/>
          <w:sz w:val="22"/>
          <w:szCs w:val="22"/>
        </w:rPr>
        <w:footnoteReference w:id="4"/>
      </w:r>
      <w:r w:rsidR="00195E7B">
        <w:t xml:space="preserve"> 4) associate’s degree</w:t>
      </w:r>
      <w:r w:rsidR="002903B4">
        <w:t>,</w:t>
      </w:r>
      <w:r w:rsidR="00195E7B">
        <w:t xml:space="preserve"> 5) bachelor’s degree</w:t>
      </w:r>
      <w:r w:rsidR="002903B4">
        <w:t>,</w:t>
      </w:r>
      <w:r w:rsidR="00224ECE">
        <w:t xml:space="preserve"> and 6) graduate degree and</w:t>
      </w:r>
      <w:r w:rsidR="00195E7B">
        <w:t xml:space="preserve"> higher. </w:t>
      </w:r>
    </w:p>
    <w:p w14:paraId="0664929A" w14:textId="76DB94C4" w:rsidR="000A4A6F" w:rsidRDefault="000A4A6F" w:rsidP="00384961">
      <w:pPr>
        <w:pStyle w:val="Heading3"/>
        <w:tabs>
          <w:tab w:val="left" w:pos="6180"/>
        </w:tabs>
        <w:rPr>
          <w:rFonts w:eastAsiaTheme="majorEastAsia"/>
        </w:rPr>
      </w:pPr>
      <w:bookmarkStart w:id="14" w:name="_Toc428785411"/>
      <w:r w:rsidRPr="000A4A6F">
        <w:rPr>
          <w:rFonts w:eastAsiaTheme="majorEastAsia"/>
        </w:rPr>
        <w:t xml:space="preserve">Overall </w:t>
      </w:r>
      <w:r w:rsidR="001A6A8F">
        <w:rPr>
          <w:rFonts w:eastAsiaTheme="majorEastAsia"/>
        </w:rPr>
        <w:t>Educational Attainment</w:t>
      </w:r>
      <w:bookmarkEnd w:id="14"/>
      <w:r w:rsidR="00D95D34">
        <w:rPr>
          <w:rFonts w:eastAsiaTheme="majorEastAsia"/>
        </w:rPr>
        <w:tab/>
      </w:r>
    </w:p>
    <w:p w14:paraId="44D00745" w14:textId="4DF88DB6" w:rsidR="00224ECE" w:rsidRDefault="007751D8" w:rsidP="006C0910">
      <w:r>
        <w:t>Table</w:t>
      </w:r>
      <w:r w:rsidR="00E54676">
        <w:t xml:space="preserve"> </w:t>
      </w:r>
      <w:r w:rsidR="00E067A0">
        <w:t>1.</w:t>
      </w:r>
      <w:r w:rsidR="00E54676">
        <w:t>8</w:t>
      </w:r>
      <w:r w:rsidR="00E54676" w:rsidRPr="00160184">
        <w:t xml:space="preserve"> </w:t>
      </w:r>
      <w:r>
        <w:t xml:space="preserve">and Figure </w:t>
      </w:r>
      <w:r w:rsidR="00E067A0">
        <w:t>1.</w:t>
      </w:r>
      <w:r w:rsidR="009C0059">
        <w:t>9</w:t>
      </w:r>
      <w:r>
        <w:t xml:space="preserve"> </w:t>
      </w:r>
      <w:r w:rsidR="00E54676" w:rsidRPr="00160184">
        <w:t xml:space="preserve">display the </w:t>
      </w:r>
      <w:r w:rsidR="00433E4D">
        <w:t>educational attainment o</w:t>
      </w:r>
      <w:r w:rsidR="00E54676" w:rsidRPr="00160184">
        <w:t xml:space="preserve">f </w:t>
      </w:r>
      <w:r w:rsidR="00433E4D">
        <w:t xml:space="preserve">the overall adult population in </w:t>
      </w:r>
      <w:r w:rsidR="006628FA">
        <w:t xml:space="preserve">the </w:t>
      </w:r>
      <w:r w:rsidR="006C38C7">
        <w:t>CCC</w:t>
      </w:r>
      <w:r w:rsidR="006628FA">
        <w:t xml:space="preserve"> </w:t>
      </w:r>
      <w:r w:rsidR="00B101E7">
        <w:t>Economic Region</w:t>
      </w:r>
      <w:r w:rsidR="00433E4D">
        <w:t>, without reference to gender and ethnicity</w:t>
      </w:r>
      <w:r w:rsidR="00E54676" w:rsidRPr="00160184">
        <w:t xml:space="preserve">. In </w:t>
      </w:r>
      <w:r w:rsidR="006628FA">
        <w:t xml:space="preserve">the </w:t>
      </w:r>
      <w:r w:rsidR="006C38C7">
        <w:t>CCC</w:t>
      </w:r>
      <w:r w:rsidR="006628FA">
        <w:t xml:space="preserve"> </w:t>
      </w:r>
      <w:r w:rsidR="00B101E7">
        <w:t>Economic Region</w:t>
      </w:r>
      <w:r w:rsidR="0099257B">
        <w:t xml:space="preserve">, </w:t>
      </w:r>
      <w:r w:rsidR="001A125A">
        <w:t>the pe</w:t>
      </w:r>
      <w:r w:rsidR="006C38C7">
        <w:t>rc</w:t>
      </w:r>
      <w:r w:rsidR="001A125A">
        <w:t xml:space="preserve">entage of the adult </w:t>
      </w:r>
      <w:r w:rsidR="00E54676" w:rsidRPr="00160184">
        <w:t xml:space="preserve">population </w:t>
      </w:r>
      <w:r w:rsidR="001A125A">
        <w:t>with</w:t>
      </w:r>
      <w:r w:rsidR="00E54676" w:rsidRPr="00160184">
        <w:t xml:space="preserve"> a high </w:t>
      </w:r>
      <w:r w:rsidR="0064030A">
        <w:t>school diploma or less</w:t>
      </w:r>
      <w:r w:rsidR="001A125A">
        <w:t xml:space="preserve"> is </w:t>
      </w:r>
      <w:r w:rsidR="00842329">
        <w:t>54</w:t>
      </w:r>
      <w:r w:rsidR="001A125A">
        <w:t>%,</w:t>
      </w:r>
      <w:r w:rsidR="00B95487">
        <w:t xml:space="preserve"> </w:t>
      </w:r>
      <w:r w:rsidR="00385498">
        <w:t xml:space="preserve">which is </w:t>
      </w:r>
      <w:r w:rsidR="00842329">
        <w:t>higher</w:t>
      </w:r>
      <w:r w:rsidR="004846C7">
        <w:t xml:space="preserve"> than</w:t>
      </w:r>
      <w:r w:rsidR="001A125A">
        <w:t xml:space="preserve"> the national average of </w:t>
      </w:r>
      <w:r w:rsidR="000C292D">
        <w:t>44</w:t>
      </w:r>
      <w:r w:rsidR="001A125A">
        <w:t xml:space="preserve">%. These data suggest </w:t>
      </w:r>
      <w:r w:rsidR="000C292D">
        <w:t xml:space="preserve">there is </w:t>
      </w:r>
      <w:r w:rsidR="00420D33">
        <w:t xml:space="preserve">still </w:t>
      </w:r>
      <w:r w:rsidR="001A125A">
        <w:t xml:space="preserve">an opportunity for educators in </w:t>
      </w:r>
      <w:r w:rsidR="006628FA">
        <w:t xml:space="preserve">the </w:t>
      </w:r>
      <w:r w:rsidR="006C38C7">
        <w:t>CCC</w:t>
      </w:r>
      <w:r w:rsidR="006628FA">
        <w:t xml:space="preserve"> </w:t>
      </w:r>
      <w:r w:rsidR="00B101E7">
        <w:t>Economic Region</w:t>
      </w:r>
      <w:r w:rsidR="001A125A">
        <w:t xml:space="preserve"> to </w:t>
      </w:r>
      <w:r w:rsidR="00EB070D">
        <w:t>boost the pe</w:t>
      </w:r>
      <w:r w:rsidR="006C38C7">
        <w:t>rc</w:t>
      </w:r>
      <w:r w:rsidR="00EB070D">
        <w:t>entage of adults with an associate’s degree or higher (currently this pe</w:t>
      </w:r>
      <w:r w:rsidR="006C38C7">
        <w:t>rc</w:t>
      </w:r>
      <w:r w:rsidR="00EB070D">
        <w:t xml:space="preserve">entage sits at </w:t>
      </w:r>
      <w:r w:rsidR="00842329">
        <w:t>24</w:t>
      </w:r>
      <w:r w:rsidR="00EB070D">
        <w:t xml:space="preserve">% for the region overall). </w:t>
      </w:r>
      <w:r w:rsidR="00D05B49">
        <w:t xml:space="preserve">Out of all the education categories in Table </w:t>
      </w:r>
      <w:r w:rsidR="00B7210A">
        <w:t>1.</w:t>
      </w:r>
      <w:r w:rsidR="00D05B49">
        <w:t xml:space="preserve">8, the people that are </w:t>
      </w:r>
      <w:r w:rsidR="00E54676">
        <w:t xml:space="preserve">most likely to seek education and training from </w:t>
      </w:r>
      <w:r w:rsidR="006C38C7">
        <w:t>CCC</w:t>
      </w:r>
      <w:r w:rsidR="00E54676">
        <w:t xml:space="preserve"> </w:t>
      </w:r>
      <w:r w:rsidR="0064030A">
        <w:t>are those in the “Less than high school diploma,” “High school diploma,”</w:t>
      </w:r>
      <w:r w:rsidR="00E54676">
        <w:t xml:space="preserve"> </w:t>
      </w:r>
      <w:r w:rsidR="0064030A">
        <w:t xml:space="preserve">and “Some college” categories. Together these categories </w:t>
      </w:r>
      <w:r w:rsidR="00385498">
        <w:t>total</w:t>
      </w:r>
      <w:r w:rsidR="0064030A">
        <w:t xml:space="preserve"> </w:t>
      </w:r>
      <w:r w:rsidR="00842329">
        <w:t>795,321</w:t>
      </w:r>
      <w:r w:rsidR="00BD28AF">
        <w:t xml:space="preserve"> </w:t>
      </w:r>
      <w:r w:rsidR="0064030A">
        <w:t xml:space="preserve">people, or </w:t>
      </w:r>
      <w:r w:rsidR="00842329">
        <w:t>76</w:t>
      </w:r>
      <w:r w:rsidR="00E54676">
        <w:t xml:space="preserve">% of </w:t>
      </w:r>
      <w:r w:rsidR="0064030A">
        <w:t>the entire adult population in the region</w:t>
      </w:r>
      <w:r w:rsidR="00E54676">
        <w:t xml:space="preserve">. </w:t>
      </w:r>
      <w:r w:rsidR="00224ECE">
        <w:t xml:space="preserve">Between </w:t>
      </w:r>
      <w:r w:rsidR="008B0385">
        <w:t>2009</w:t>
      </w:r>
      <w:r w:rsidR="00224ECE">
        <w:t xml:space="preserve"> and </w:t>
      </w:r>
      <w:r w:rsidR="008B0385">
        <w:t>2014</w:t>
      </w:r>
      <w:r w:rsidR="00224ECE">
        <w:t>, the proportion of the overall adult population with “Less than a high scho</w:t>
      </w:r>
      <w:r w:rsidR="004846C7">
        <w:t>ol diploma” in</w:t>
      </w:r>
      <w:r w:rsidR="00224ECE">
        <w:t xml:space="preserve">creased by </w:t>
      </w:r>
      <w:r w:rsidR="00842329">
        <w:t>2.7</w:t>
      </w:r>
      <w:r w:rsidR="00F46B44">
        <w:t xml:space="preserve"> pe</w:t>
      </w:r>
      <w:r w:rsidR="006C38C7">
        <w:t>rc</w:t>
      </w:r>
      <w:r w:rsidR="00F46B44">
        <w:t>entage</w:t>
      </w:r>
      <w:r w:rsidR="00B95487">
        <w:t xml:space="preserve"> point</w:t>
      </w:r>
      <w:r w:rsidR="00057A03">
        <w:t>s</w:t>
      </w:r>
      <w:r w:rsidR="00F21089">
        <w:t xml:space="preserve"> and the proportion of adults with a “High schoo</w:t>
      </w:r>
      <w:r w:rsidR="00842329">
        <w:t>l diploma” de</w:t>
      </w:r>
      <w:r w:rsidR="004846C7">
        <w:t>creased by 1</w:t>
      </w:r>
      <w:r w:rsidR="00842329">
        <w:t>.3</w:t>
      </w:r>
      <w:r w:rsidR="00F21089">
        <w:t xml:space="preserve"> pe</w:t>
      </w:r>
      <w:r w:rsidR="006C38C7">
        <w:t>rc</w:t>
      </w:r>
      <w:r w:rsidR="00F21089">
        <w:t>entage points</w:t>
      </w:r>
      <w:r w:rsidR="00B95487">
        <w:t>.</w:t>
      </w:r>
      <w:r w:rsidR="00224ECE">
        <w:rPr>
          <w:rStyle w:val="FootnoteReference"/>
          <w:rFonts w:asciiTheme="minorHAnsi" w:hAnsiTheme="minorHAnsi" w:cstheme="minorHAnsi"/>
          <w:sz w:val="22"/>
          <w:szCs w:val="22"/>
        </w:rPr>
        <w:footnoteReference w:id="5"/>
      </w:r>
      <w:r w:rsidR="00224ECE">
        <w:t xml:space="preserve"> Meanwhile, the </w:t>
      </w:r>
      <w:r w:rsidR="006C0910">
        <w:t>proportion of adults with</w:t>
      </w:r>
      <w:r w:rsidR="00BD28AF">
        <w:t xml:space="preserve"> </w:t>
      </w:r>
      <w:r w:rsidR="004846C7">
        <w:t>“Some college,”</w:t>
      </w:r>
      <w:r w:rsidR="006C0910">
        <w:t xml:space="preserve"> “</w:t>
      </w:r>
      <w:r w:rsidR="00BD28AF">
        <w:t>Associate’s degree</w:t>
      </w:r>
      <w:r w:rsidR="004846C7">
        <w:t>,</w:t>
      </w:r>
      <w:r w:rsidR="006C0910">
        <w:t>”</w:t>
      </w:r>
      <w:r w:rsidR="004846C7">
        <w:t xml:space="preserve"> “Bachelor’s degree</w:t>
      </w:r>
      <w:r w:rsidR="00842329">
        <w:t>,</w:t>
      </w:r>
      <w:r w:rsidR="004846C7">
        <w:t>”</w:t>
      </w:r>
      <w:r w:rsidR="00BD28AF">
        <w:t xml:space="preserve"> </w:t>
      </w:r>
      <w:r w:rsidR="00842329">
        <w:t xml:space="preserve">or a “Graduate degree and higher” </w:t>
      </w:r>
      <w:r w:rsidR="004846C7">
        <w:t xml:space="preserve">decreased </w:t>
      </w:r>
      <w:r w:rsidR="004846C7">
        <w:lastRenderedPageBreak/>
        <w:t xml:space="preserve">slightly (0.6 </w:t>
      </w:r>
      <w:r w:rsidR="006C38C7">
        <w:t>percentage</w:t>
      </w:r>
      <w:r w:rsidR="004846C7">
        <w:t xml:space="preserve"> points, 0.</w:t>
      </w:r>
      <w:r w:rsidR="00842329">
        <w:t>2</w:t>
      </w:r>
      <w:r w:rsidR="004846C7">
        <w:t xml:space="preserve"> pe</w:t>
      </w:r>
      <w:r w:rsidR="006C38C7">
        <w:t>rc</w:t>
      </w:r>
      <w:r w:rsidR="004846C7">
        <w:t>entage points, 0.</w:t>
      </w:r>
      <w:r w:rsidR="00842329">
        <w:t>4</w:t>
      </w:r>
      <w:r w:rsidR="004846C7">
        <w:t xml:space="preserve"> pe</w:t>
      </w:r>
      <w:r w:rsidR="006C38C7">
        <w:t>rc</w:t>
      </w:r>
      <w:r w:rsidR="004846C7">
        <w:t>entage points,</w:t>
      </w:r>
      <w:r w:rsidR="00842329">
        <w:t xml:space="preserve"> and 0.3 pe</w:t>
      </w:r>
      <w:r w:rsidR="006C38C7">
        <w:t>rc</w:t>
      </w:r>
      <w:r w:rsidR="00842329">
        <w:t>entage points,</w:t>
      </w:r>
      <w:r w:rsidR="004846C7">
        <w:t xml:space="preserve"> respectively)</w:t>
      </w:r>
      <w:r w:rsidR="006C0910">
        <w:t>.</w:t>
      </w:r>
    </w:p>
    <w:p w14:paraId="3EF47F9A" w14:textId="77777777" w:rsidR="00224ECE" w:rsidRDefault="00224ECE" w:rsidP="004A4F48"/>
    <w:tbl>
      <w:tblPr>
        <w:tblStyle w:val="MediumShading1-Accent1"/>
        <w:tblW w:w="9475" w:type="dxa"/>
        <w:tblLayout w:type="fixed"/>
        <w:tblLook w:val="04A0" w:firstRow="1" w:lastRow="0" w:firstColumn="1" w:lastColumn="0" w:noHBand="0" w:noVBand="1"/>
      </w:tblPr>
      <w:tblGrid>
        <w:gridCol w:w="2247"/>
        <w:gridCol w:w="1158"/>
        <w:gridCol w:w="1247"/>
        <w:gridCol w:w="1158"/>
        <w:gridCol w:w="1245"/>
        <w:gridCol w:w="1158"/>
        <w:gridCol w:w="1262"/>
      </w:tblGrid>
      <w:tr w:rsidR="00E56D31" w:rsidRPr="005A22E3" w14:paraId="498C7351" w14:textId="77777777" w:rsidTr="00E56D31">
        <w:trPr>
          <w:cnfStyle w:val="100000000000" w:firstRow="1" w:lastRow="0" w:firstColumn="0" w:lastColumn="0" w:oddVBand="0" w:evenVBand="0" w:oddHBand="0" w:evenHBand="0" w:firstRowFirstColumn="0" w:firstRowLastColumn="0" w:lastRowFirstColumn="0" w:lastRowLastColumn="0"/>
          <w:trHeight w:hRule="exact" w:val="65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right w:val="nil"/>
            </w:tcBorders>
            <w:shd w:val="clear" w:color="auto" w:fill="auto"/>
            <w:noWrap/>
          </w:tcPr>
          <w:p w14:paraId="0CFFB9ED" w14:textId="622B7B68" w:rsidR="00E56D31" w:rsidRPr="005A22E3" w:rsidRDefault="00E56D31" w:rsidP="00142543">
            <w:pPr>
              <w:pStyle w:val="Tabletitle"/>
              <w:rPr>
                <w:rFonts w:ascii="Calibri" w:hAnsi="Calibri"/>
                <w:b/>
                <w:szCs w:val="18"/>
              </w:rPr>
            </w:pPr>
            <w:r w:rsidRPr="00244673">
              <w:rPr>
                <w:b/>
              </w:rPr>
              <w:t xml:space="preserve">Table </w:t>
            </w:r>
            <w:r w:rsidR="00E067A0">
              <w:rPr>
                <w:b/>
              </w:rPr>
              <w:t>1.</w:t>
            </w:r>
            <w:r w:rsidRPr="00244673">
              <w:rPr>
                <w:b/>
              </w:rPr>
              <w:t xml:space="preserve">8: </w:t>
            </w:r>
            <w:r>
              <w:rPr>
                <w:b/>
              </w:rPr>
              <w:t xml:space="preserve">Breakdown of Adult PopUlation in </w:t>
            </w:r>
            <w:r w:rsidR="00385498">
              <w:rPr>
                <w:b/>
              </w:rPr>
              <w:t xml:space="preserve">the </w:t>
            </w:r>
            <w:r w:rsidR="006C38C7">
              <w:rPr>
                <w:b/>
              </w:rPr>
              <w:t>CCC</w:t>
            </w:r>
            <w:r w:rsidR="00373EB5">
              <w:rPr>
                <w:b/>
              </w:rPr>
              <w:t xml:space="preserve"> </w:t>
            </w:r>
            <w:r w:rsidR="00B101E7">
              <w:rPr>
                <w:b/>
              </w:rPr>
              <w:t>Economic Region</w:t>
            </w:r>
            <w:r>
              <w:rPr>
                <w:b/>
              </w:rPr>
              <w:t xml:space="preserve"> by Educational Attainment, </w:t>
            </w:r>
            <w:r w:rsidR="008B0385">
              <w:rPr>
                <w:b/>
              </w:rPr>
              <w:t>2009</w:t>
            </w:r>
            <w:r>
              <w:rPr>
                <w:b/>
              </w:rPr>
              <w:t xml:space="preserve"> and </w:t>
            </w:r>
            <w:r w:rsidR="008B0385">
              <w:rPr>
                <w:b/>
              </w:rPr>
              <w:t>2014</w:t>
            </w:r>
            <w:r w:rsidRPr="00244673">
              <w:rPr>
                <w:b/>
              </w:rPr>
              <w:t xml:space="preserve"> </w:t>
            </w:r>
          </w:p>
        </w:tc>
      </w:tr>
      <w:tr w:rsidR="00384961" w:rsidRPr="005A22E3" w14:paraId="446BA081" w14:textId="77777777" w:rsidTr="008E0427">
        <w:trPr>
          <w:cnfStyle w:val="000000100000" w:firstRow="0" w:lastRow="0" w:firstColumn="0" w:lastColumn="0" w:oddVBand="0" w:evenVBand="0" w:oddHBand="1" w:evenHBand="0" w:firstRowFirstColumn="0" w:firstRowLastColumn="0" w:lastRowFirstColumn="0" w:lastRowLastColumn="0"/>
          <w:trHeight w:hRule="exact" w:val="785"/>
        </w:trPr>
        <w:tc>
          <w:tcPr>
            <w:cnfStyle w:val="001000000000" w:firstRow="0" w:lastRow="0" w:firstColumn="1" w:lastColumn="0" w:oddVBand="0" w:evenVBand="0" w:oddHBand="0" w:evenHBand="0" w:firstRowFirstColumn="0" w:firstRowLastColumn="0" w:lastRowFirstColumn="0" w:lastRowLastColumn="0"/>
            <w:tcW w:w="1186" w:type="pct"/>
            <w:tcBorders>
              <w:right w:val="single" w:sz="8" w:space="0" w:color="7BA0CD" w:themeColor="accent1" w:themeTint="BF"/>
            </w:tcBorders>
            <w:shd w:val="clear" w:color="auto" w:fill="4F81BD" w:themeFill="accent1"/>
            <w:noWrap/>
            <w:vAlign w:val="center"/>
            <w:hideMark/>
          </w:tcPr>
          <w:p w14:paraId="2C30C970" w14:textId="77777777" w:rsidR="00C807EB" w:rsidRPr="002E7E2D" w:rsidRDefault="00C807EB" w:rsidP="00384961">
            <w:pPr>
              <w:pStyle w:val="Tableheaderleft"/>
              <w:jc w:val="center"/>
            </w:pPr>
            <w:r w:rsidRPr="002E7E2D">
              <w:t>Ed</w:t>
            </w:r>
            <w:r>
              <w:t>ucation</w:t>
            </w:r>
            <w:r w:rsidRPr="002E7E2D">
              <w:t xml:space="preserve"> Level</w:t>
            </w:r>
          </w:p>
        </w:tc>
        <w:tc>
          <w:tcPr>
            <w:tcW w:w="611" w:type="pct"/>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66AC8D73" w14:textId="204A9C19" w:rsidR="00C807EB" w:rsidRPr="005A22E3" w:rsidRDefault="008B0385" w:rsidP="008E0427">
            <w:pPr>
              <w:pStyle w:val="Tableheadercenter"/>
              <w:cnfStyle w:val="000000100000" w:firstRow="0" w:lastRow="0" w:firstColumn="0" w:lastColumn="0" w:oddVBand="0" w:evenVBand="0" w:oddHBand="1" w:evenHBand="0" w:firstRowFirstColumn="0" w:firstRowLastColumn="0" w:lastRowFirstColumn="0" w:lastRowLastColumn="0"/>
            </w:pPr>
            <w:r>
              <w:t>2009</w:t>
            </w:r>
            <w:r w:rsidR="00C807EB" w:rsidRPr="005A22E3">
              <w:t xml:space="preserve"> </w:t>
            </w:r>
            <w:r w:rsidR="00C807EB">
              <w:t>Population</w:t>
            </w:r>
          </w:p>
        </w:tc>
        <w:tc>
          <w:tcPr>
            <w:tcW w:w="658" w:type="pct"/>
            <w:tcBorders>
              <w:left w:val="single" w:sz="8" w:space="0" w:color="7BA0CD" w:themeColor="accent1" w:themeTint="BF"/>
              <w:right w:val="single" w:sz="8" w:space="0" w:color="7BA0CD" w:themeColor="accent1" w:themeTint="BF"/>
            </w:tcBorders>
            <w:shd w:val="clear" w:color="auto" w:fill="4F81BD" w:themeFill="accent1"/>
            <w:vAlign w:val="center"/>
          </w:tcPr>
          <w:p w14:paraId="108E5498" w14:textId="39B60CD9" w:rsidR="00C807EB" w:rsidRPr="005A22E3" w:rsidRDefault="008B0385" w:rsidP="008E0427">
            <w:pPr>
              <w:pStyle w:val="Tableheadercenter"/>
              <w:cnfStyle w:val="000000100000" w:firstRow="0" w:lastRow="0" w:firstColumn="0" w:lastColumn="0" w:oddVBand="0" w:evenVBand="0" w:oddHBand="1" w:evenHBand="0" w:firstRowFirstColumn="0" w:firstRowLastColumn="0" w:lastRowFirstColumn="0" w:lastRowLastColumn="0"/>
            </w:pPr>
            <w:r>
              <w:t>2009</w:t>
            </w:r>
            <w:r w:rsidR="006925A1">
              <w:t xml:space="preserve"> </w:t>
            </w:r>
            <w:r w:rsidR="00C807EB">
              <w:t>% Distribution</w:t>
            </w:r>
          </w:p>
        </w:tc>
        <w:tc>
          <w:tcPr>
            <w:tcW w:w="611" w:type="pct"/>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04BB64B9" w14:textId="7FCB9EE4" w:rsidR="00C807EB" w:rsidRPr="005A22E3" w:rsidRDefault="008B0385" w:rsidP="008E0427">
            <w:pPr>
              <w:pStyle w:val="Tableheadercenter"/>
              <w:cnfStyle w:val="000000100000" w:firstRow="0" w:lastRow="0" w:firstColumn="0" w:lastColumn="0" w:oddVBand="0" w:evenVBand="0" w:oddHBand="1" w:evenHBand="0" w:firstRowFirstColumn="0" w:firstRowLastColumn="0" w:lastRowFirstColumn="0" w:lastRowLastColumn="0"/>
            </w:pPr>
            <w:r>
              <w:t>2014</w:t>
            </w:r>
            <w:r w:rsidR="00C807EB" w:rsidRPr="005A22E3">
              <w:t xml:space="preserve"> </w:t>
            </w:r>
            <w:r w:rsidR="00C807EB">
              <w:t>Population</w:t>
            </w:r>
          </w:p>
        </w:tc>
        <w:tc>
          <w:tcPr>
            <w:tcW w:w="657" w:type="pct"/>
            <w:tcBorders>
              <w:left w:val="single" w:sz="8" w:space="0" w:color="7BA0CD" w:themeColor="accent1" w:themeTint="BF"/>
              <w:right w:val="single" w:sz="8" w:space="0" w:color="7BA0CD" w:themeColor="accent1" w:themeTint="BF"/>
            </w:tcBorders>
            <w:shd w:val="clear" w:color="auto" w:fill="4F81BD" w:themeFill="accent1"/>
            <w:vAlign w:val="center"/>
          </w:tcPr>
          <w:p w14:paraId="6969D00F" w14:textId="056010F4" w:rsidR="00C807EB" w:rsidRPr="005A22E3" w:rsidRDefault="008B0385" w:rsidP="008E0427">
            <w:pPr>
              <w:pStyle w:val="Tableheadercenter"/>
              <w:cnfStyle w:val="000000100000" w:firstRow="0" w:lastRow="0" w:firstColumn="0" w:lastColumn="0" w:oddVBand="0" w:evenVBand="0" w:oddHBand="1" w:evenHBand="0" w:firstRowFirstColumn="0" w:firstRowLastColumn="0" w:lastRowFirstColumn="0" w:lastRowLastColumn="0"/>
            </w:pPr>
            <w:r>
              <w:t>2014</w:t>
            </w:r>
            <w:r w:rsidR="006925A1">
              <w:t xml:space="preserve"> </w:t>
            </w:r>
            <w:r w:rsidR="00C807EB">
              <w:t>% Distribution</w:t>
            </w:r>
          </w:p>
        </w:tc>
        <w:tc>
          <w:tcPr>
            <w:tcW w:w="611" w:type="pct"/>
            <w:tcBorders>
              <w:left w:val="single" w:sz="8" w:space="0" w:color="7BA0CD" w:themeColor="accent1" w:themeTint="BF"/>
              <w:right w:val="single" w:sz="8" w:space="0" w:color="7BA0CD" w:themeColor="accent1" w:themeTint="BF"/>
            </w:tcBorders>
            <w:shd w:val="clear" w:color="auto" w:fill="4F81BD" w:themeFill="accent1"/>
            <w:vAlign w:val="center"/>
          </w:tcPr>
          <w:p w14:paraId="2413CEEC" w14:textId="535CD12B" w:rsidR="00C807EB" w:rsidRPr="005A22E3" w:rsidRDefault="00C807EB" w:rsidP="008E0427">
            <w:pPr>
              <w:pStyle w:val="Tableheadercenter"/>
              <w:cnfStyle w:val="000000100000" w:firstRow="0" w:lastRow="0" w:firstColumn="0" w:lastColumn="0" w:oddVBand="0" w:evenVBand="0" w:oddHBand="1" w:evenHBand="0" w:firstRowFirstColumn="0" w:firstRowLastColumn="0" w:lastRowFirstColumn="0" w:lastRowLastColumn="0"/>
            </w:pPr>
            <w:r>
              <w:t>Population c</w:t>
            </w:r>
            <w:r w:rsidRPr="005A22E3">
              <w:t>hange</w:t>
            </w:r>
          </w:p>
        </w:tc>
        <w:tc>
          <w:tcPr>
            <w:tcW w:w="666" w:type="pct"/>
            <w:tcBorders>
              <w:left w:val="single" w:sz="8" w:space="0" w:color="7BA0CD" w:themeColor="accent1" w:themeTint="BF"/>
            </w:tcBorders>
            <w:shd w:val="clear" w:color="auto" w:fill="4F81BD" w:themeFill="accent1"/>
            <w:vAlign w:val="center"/>
          </w:tcPr>
          <w:p w14:paraId="26F5F2AD" w14:textId="3052CE03" w:rsidR="00C807EB" w:rsidRPr="005A22E3" w:rsidRDefault="00C807EB" w:rsidP="008E0427">
            <w:pPr>
              <w:pStyle w:val="Tableheadercenter"/>
              <w:cnfStyle w:val="000000100000" w:firstRow="0" w:lastRow="0" w:firstColumn="0" w:lastColumn="0" w:oddVBand="0" w:evenVBand="0" w:oddHBand="1" w:evenHBand="0" w:firstRowFirstColumn="0" w:firstRowLastColumn="0" w:lastRowFirstColumn="0" w:lastRowLastColumn="0"/>
            </w:pPr>
            <w:r>
              <w:t>%</w:t>
            </w:r>
            <w:r w:rsidR="00222A71">
              <w:t xml:space="preserve"> </w:t>
            </w:r>
            <w:r w:rsidR="00E56D31">
              <w:t xml:space="preserve">Distribution </w:t>
            </w:r>
            <w:r w:rsidRPr="005A22E3">
              <w:t>Change</w:t>
            </w:r>
          </w:p>
        </w:tc>
      </w:tr>
      <w:tr w:rsidR="00842329" w:rsidRPr="005A22E3" w14:paraId="0F207847" w14:textId="77777777" w:rsidTr="00842329">
        <w:trPr>
          <w:cnfStyle w:val="000000010000" w:firstRow="0" w:lastRow="0" w:firstColumn="0" w:lastColumn="0" w:oddVBand="0" w:evenVBand="0" w:oddHBand="0" w:evenHBand="1"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1186" w:type="pct"/>
            <w:tcBorders>
              <w:right w:val="single" w:sz="8" w:space="0" w:color="7BA0CD" w:themeColor="accent1" w:themeTint="BF"/>
            </w:tcBorders>
            <w:noWrap/>
            <w:vAlign w:val="center"/>
            <w:hideMark/>
          </w:tcPr>
          <w:p w14:paraId="6FF93D8B" w14:textId="53A57866" w:rsidR="00842329" w:rsidRPr="00A07E93" w:rsidRDefault="00842329" w:rsidP="003059C0">
            <w:pPr>
              <w:pStyle w:val="Tablenormalleft"/>
              <w:jc w:val="left"/>
            </w:pPr>
            <w:r>
              <w:t>Less than HS diploma or equivalent</w:t>
            </w:r>
          </w:p>
        </w:tc>
        <w:tc>
          <w:tcPr>
            <w:tcW w:w="611" w:type="pct"/>
            <w:tcBorders>
              <w:left w:val="single" w:sz="8" w:space="0" w:color="7BA0CD" w:themeColor="accent1" w:themeTint="BF"/>
              <w:right w:val="single" w:sz="8" w:space="0" w:color="7BA0CD" w:themeColor="accent1" w:themeTint="BF"/>
            </w:tcBorders>
            <w:noWrap/>
            <w:vAlign w:val="center"/>
            <w:hideMark/>
          </w:tcPr>
          <w:p w14:paraId="47BADEAE" w14:textId="2A452811"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281,261</w:t>
            </w:r>
          </w:p>
        </w:tc>
        <w:tc>
          <w:tcPr>
            <w:tcW w:w="658" w:type="pct"/>
            <w:tcBorders>
              <w:left w:val="single" w:sz="8" w:space="0" w:color="7BA0CD" w:themeColor="accent1" w:themeTint="BF"/>
              <w:right w:val="single" w:sz="8" w:space="0" w:color="7BA0CD" w:themeColor="accent1" w:themeTint="BF"/>
            </w:tcBorders>
            <w:vAlign w:val="center"/>
          </w:tcPr>
          <w:p w14:paraId="7935D7FE" w14:textId="4F53247D" w:rsidR="00842329" w:rsidRPr="006805DE"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29%</w:t>
            </w:r>
          </w:p>
        </w:tc>
        <w:tc>
          <w:tcPr>
            <w:tcW w:w="611" w:type="pct"/>
            <w:tcBorders>
              <w:left w:val="single" w:sz="8" w:space="0" w:color="7BA0CD" w:themeColor="accent1" w:themeTint="BF"/>
              <w:right w:val="single" w:sz="8" w:space="0" w:color="7BA0CD" w:themeColor="accent1" w:themeTint="BF"/>
            </w:tcBorders>
            <w:noWrap/>
            <w:vAlign w:val="center"/>
            <w:hideMark/>
          </w:tcPr>
          <w:p w14:paraId="66FD8350" w14:textId="2A46DC68"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332,098</w:t>
            </w:r>
          </w:p>
        </w:tc>
        <w:tc>
          <w:tcPr>
            <w:tcW w:w="657" w:type="pct"/>
            <w:tcBorders>
              <w:left w:val="single" w:sz="8" w:space="0" w:color="7BA0CD" w:themeColor="accent1" w:themeTint="BF"/>
              <w:right w:val="single" w:sz="8" w:space="0" w:color="7BA0CD" w:themeColor="accent1" w:themeTint="BF"/>
            </w:tcBorders>
            <w:vAlign w:val="center"/>
          </w:tcPr>
          <w:p w14:paraId="45F8C7FA" w14:textId="531E7324" w:rsidR="00842329" w:rsidRPr="006805DE"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32%</w:t>
            </w:r>
          </w:p>
        </w:tc>
        <w:tc>
          <w:tcPr>
            <w:tcW w:w="611" w:type="pct"/>
            <w:tcBorders>
              <w:left w:val="single" w:sz="8" w:space="0" w:color="7BA0CD" w:themeColor="accent1" w:themeTint="BF"/>
              <w:right w:val="single" w:sz="8" w:space="0" w:color="7BA0CD" w:themeColor="accent1" w:themeTint="BF"/>
            </w:tcBorders>
            <w:vAlign w:val="center"/>
          </w:tcPr>
          <w:p w14:paraId="26A3868E" w14:textId="30555FBC"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 xml:space="preserve">50,837 </w:t>
            </w:r>
          </w:p>
        </w:tc>
        <w:tc>
          <w:tcPr>
            <w:tcW w:w="666" w:type="pct"/>
            <w:tcBorders>
              <w:left w:val="single" w:sz="8" w:space="0" w:color="7BA0CD" w:themeColor="accent1" w:themeTint="BF"/>
            </w:tcBorders>
            <w:vAlign w:val="center"/>
          </w:tcPr>
          <w:p w14:paraId="6A6DBE0A" w14:textId="69642844" w:rsidR="00842329" w:rsidRPr="00BD1911"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2.7%</w:t>
            </w:r>
          </w:p>
        </w:tc>
      </w:tr>
      <w:tr w:rsidR="00842329" w:rsidRPr="005A22E3" w14:paraId="1D401E31" w14:textId="77777777" w:rsidTr="00842329">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1186" w:type="pct"/>
            <w:tcBorders>
              <w:right w:val="single" w:sz="8" w:space="0" w:color="7BA0CD" w:themeColor="accent1" w:themeTint="BF"/>
            </w:tcBorders>
            <w:noWrap/>
            <w:vAlign w:val="center"/>
            <w:hideMark/>
          </w:tcPr>
          <w:p w14:paraId="6BB2EBD2" w14:textId="6ACC842C" w:rsidR="00842329" w:rsidRPr="00A07E93" w:rsidRDefault="00842329" w:rsidP="009F7BF2">
            <w:pPr>
              <w:pStyle w:val="Tablenormalleft"/>
              <w:jc w:val="left"/>
            </w:pPr>
            <w:r w:rsidRPr="00A07E93">
              <w:t xml:space="preserve">High </w:t>
            </w:r>
            <w:r>
              <w:t>s</w:t>
            </w:r>
            <w:r w:rsidRPr="00A07E93">
              <w:t xml:space="preserve">chool </w:t>
            </w:r>
            <w:r>
              <w:t>d</w:t>
            </w:r>
            <w:r w:rsidRPr="00A07E93">
              <w:t>iploma</w:t>
            </w:r>
            <w:r>
              <w:t xml:space="preserve"> or equivalent</w:t>
            </w:r>
          </w:p>
        </w:tc>
        <w:tc>
          <w:tcPr>
            <w:tcW w:w="611" w:type="pct"/>
            <w:tcBorders>
              <w:left w:val="single" w:sz="8" w:space="0" w:color="7BA0CD" w:themeColor="accent1" w:themeTint="BF"/>
              <w:right w:val="single" w:sz="8" w:space="0" w:color="7BA0CD" w:themeColor="accent1" w:themeTint="BF"/>
            </w:tcBorders>
            <w:noWrap/>
            <w:vAlign w:val="center"/>
            <w:hideMark/>
          </w:tcPr>
          <w:p w14:paraId="4A0DC1B0" w14:textId="6B0483AD"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226,864</w:t>
            </w:r>
          </w:p>
        </w:tc>
        <w:tc>
          <w:tcPr>
            <w:tcW w:w="658" w:type="pct"/>
            <w:tcBorders>
              <w:left w:val="single" w:sz="8" w:space="0" w:color="7BA0CD" w:themeColor="accent1" w:themeTint="BF"/>
              <w:right w:val="single" w:sz="8" w:space="0" w:color="7BA0CD" w:themeColor="accent1" w:themeTint="BF"/>
            </w:tcBorders>
            <w:vAlign w:val="center"/>
          </w:tcPr>
          <w:p w14:paraId="611EA654" w14:textId="57D67624" w:rsidR="00842329" w:rsidRPr="006805DE"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23%</w:t>
            </w:r>
          </w:p>
        </w:tc>
        <w:tc>
          <w:tcPr>
            <w:tcW w:w="611" w:type="pct"/>
            <w:tcBorders>
              <w:left w:val="single" w:sz="8" w:space="0" w:color="7BA0CD" w:themeColor="accent1" w:themeTint="BF"/>
              <w:right w:val="single" w:sz="8" w:space="0" w:color="7BA0CD" w:themeColor="accent1" w:themeTint="BF"/>
            </w:tcBorders>
            <w:noWrap/>
            <w:vAlign w:val="center"/>
            <w:hideMark/>
          </w:tcPr>
          <w:p w14:paraId="0CCC5415" w14:textId="7DE10564"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231,538</w:t>
            </w:r>
          </w:p>
        </w:tc>
        <w:tc>
          <w:tcPr>
            <w:tcW w:w="657" w:type="pct"/>
            <w:tcBorders>
              <w:left w:val="single" w:sz="8" w:space="0" w:color="7BA0CD" w:themeColor="accent1" w:themeTint="BF"/>
              <w:right w:val="single" w:sz="8" w:space="0" w:color="7BA0CD" w:themeColor="accent1" w:themeTint="BF"/>
            </w:tcBorders>
            <w:vAlign w:val="center"/>
          </w:tcPr>
          <w:p w14:paraId="09ABE723" w14:textId="4D034CB9" w:rsidR="00842329" w:rsidRPr="006805DE"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22%</w:t>
            </w:r>
          </w:p>
        </w:tc>
        <w:tc>
          <w:tcPr>
            <w:tcW w:w="611" w:type="pct"/>
            <w:tcBorders>
              <w:left w:val="single" w:sz="8" w:space="0" w:color="7BA0CD" w:themeColor="accent1" w:themeTint="BF"/>
              <w:right w:val="single" w:sz="8" w:space="0" w:color="7BA0CD" w:themeColor="accent1" w:themeTint="BF"/>
            </w:tcBorders>
            <w:vAlign w:val="center"/>
          </w:tcPr>
          <w:p w14:paraId="15C266A0" w14:textId="1C55EE3F"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 xml:space="preserve">4,674 </w:t>
            </w:r>
          </w:p>
        </w:tc>
        <w:tc>
          <w:tcPr>
            <w:tcW w:w="666" w:type="pct"/>
            <w:tcBorders>
              <w:left w:val="single" w:sz="8" w:space="0" w:color="7BA0CD" w:themeColor="accent1" w:themeTint="BF"/>
            </w:tcBorders>
            <w:vAlign w:val="center"/>
          </w:tcPr>
          <w:p w14:paraId="5DE7B60E" w14:textId="7E32CD60" w:rsidR="00842329" w:rsidRPr="00BD1911"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 xml:space="preserve"> (1.3%)</w:t>
            </w:r>
          </w:p>
        </w:tc>
      </w:tr>
      <w:tr w:rsidR="00842329" w:rsidRPr="005A22E3" w14:paraId="554F1ABA" w14:textId="77777777" w:rsidTr="00842329">
        <w:trPr>
          <w:cnfStyle w:val="000000010000" w:firstRow="0" w:lastRow="0" w:firstColumn="0" w:lastColumn="0" w:oddVBand="0" w:evenVBand="0" w:oddHBand="0" w:evenHBand="1"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1186" w:type="pct"/>
            <w:tcBorders>
              <w:right w:val="single" w:sz="8" w:space="0" w:color="7BA0CD" w:themeColor="accent1" w:themeTint="BF"/>
            </w:tcBorders>
            <w:noWrap/>
            <w:vAlign w:val="center"/>
            <w:hideMark/>
          </w:tcPr>
          <w:p w14:paraId="3FD2EEE1" w14:textId="3F9C68A8" w:rsidR="00842329" w:rsidRPr="00A07E93" w:rsidRDefault="00842329" w:rsidP="009F7BF2">
            <w:pPr>
              <w:pStyle w:val="Tablenormalleft"/>
              <w:jc w:val="left"/>
            </w:pPr>
            <w:r w:rsidRPr="00A07E93">
              <w:t xml:space="preserve">Some </w:t>
            </w:r>
            <w:r>
              <w:t>c</w:t>
            </w:r>
            <w:r w:rsidRPr="00A07E93">
              <w:t>ollege</w:t>
            </w:r>
          </w:p>
        </w:tc>
        <w:tc>
          <w:tcPr>
            <w:tcW w:w="611" w:type="pct"/>
            <w:tcBorders>
              <w:left w:val="single" w:sz="8" w:space="0" w:color="7BA0CD" w:themeColor="accent1" w:themeTint="BF"/>
              <w:right w:val="single" w:sz="8" w:space="0" w:color="7BA0CD" w:themeColor="accent1" w:themeTint="BF"/>
            </w:tcBorders>
            <w:noWrap/>
            <w:vAlign w:val="center"/>
            <w:hideMark/>
          </w:tcPr>
          <w:p w14:paraId="1A23069B" w14:textId="0E97A0F3"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220,989</w:t>
            </w:r>
          </w:p>
        </w:tc>
        <w:tc>
          <w:tcPr>
            <w:tcW w:w="658" w:type="pct"/>
            <w:tcBorders>
              <w:left w:val="single" w:sz="8" w:space="0" w:color="7BA0CD" w:themeColor="accent1" w:themeTint="BF"/>
              <w:right w:val="single" w:sz="8" w:space="0" w:color="7BA0CD" w:themeColor="accent1" w:themeTint="BF"/>
            </w:tcBorders>
            <w:vAlign w:val="center"/>
          </w:tcPr>
          <w:p w14:paraId="7A0027E7" w14:textId="0E535194" w:rsidR="00842329" w:rsidRPr="006805DE"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23%</w:t>
            </w:r>
          </w:p>
        </w:tc>
        <w:tc>
          <w:tcPr>
            <w:tcW w:w="611" w:type="pct"/>
            <w:tcBorders>
              <w:left w:val="single" w:sz="8" w:space="0" w:color="7BA0CD" w:themeColor="accent1" w:themeTint="BF"/>
              <w:right w:val="single" w:sz="8" w:space="0" w:color="7BA0CD" w:themeColor="accent1" w:themeTint="BF"/>
            </w:tcBorders>
            <w:noWrap/>
            <w:vAlign w:val="center"/>
            <w:hideMark/>
          </w:tcPr>
          <w:p w14:paraId="4CC12C1E" w14:textId="5781999F"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231,684</w:t>
            </w:r>
          </w:p>
        </w:tc>
        <w:tc>
          <w:tcPr>
            <w:tcW w:w="657" w:type="pct"/>
            <w:tcBorders>
              <w:left w:val="single" w:sz="8" w:space="0" w:color="7BA0CD" w:themeColor="accent1" w:themeTint="BF"/>
              <w:right w:val="single" w:sz="8" w:space="0" w:color="7BA0CD" w:themeColor="accent1" w:themeTint="BF"/>
            </w:tcBorders>
            <w:vAlign w:val="center"/>
          </w:tcPr>
          <w:p w14:paraId="7672A22D" w14:textId="762DB955" w:rsidR="00842329" w:rsidRPr="006805DE"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22%</w:t>
            </w:r>
          </w:p>
        </w:tc>
        <w:tc>
          <w:tcPr>
            <w:tcW w:w="611" w:type="pct"/>
            <w:tcBorders>
              <w:left w:val="single" w:sz="8" w:space="0" w:color="7BA0CD" w:themeColor="accent1" w:themeTint="BF"/>
              <w:right w:val="single" w:sz="8" w:space="0" w:color="7BA0CD" w:themeColor="accent1" w:themeTint="BF"/>
            </w:tcBorders>
            <w:vAlign w:val="center"/>
          </w:tcPr>
          <w:p w14:paraId="29C66380" w14:textId="590C94B3"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 xml:space="preserve">10,695 </w:t>
            </w:r>
          </w:p>
        </w:tc>
        <w:tc>
          <w:tcPr>
            <w:tcW w:w="666" w:type="pct"/>
            <w:tcBorders>
              <w:left w:val="single" w:sz="8" w:space="0" w:color="7BA0CD" w:themeColor="accent1" w:themeTint="BF"/>
            </w:tcBorders>
            <w:vAlign w:val="center"/>
          </w:tcPr>
          <w:p w14:paraId="3AE3EEDB" w14:textId="7FF57BC5" w:rsidR="00842329" w:rsidRPr="00BD1911"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 xml:space="preserve"> (0.6%)</w:t>
            </w:r>
          </w:p>
        </w:tc>
      </w:tr>
      <w:tr w:rsidR="00842329" w:rsidRPr="005A22E3" w14:paraId="23775D76" w14:textId="77777777" w:rsidTr="00842329">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1186" w:type="pct"/>
            <w:tcBorders>
              <w:right w:val="single" w:sz="8" w:space="0" w:color="7BA0CD" w:themeColor="accent1" w:themeTint="BF"/>
            </w:tcBorders>
            <w:noWrap/>
            <w:vAlign w:val="center"/>
            <w:hideMark/>
          </w:tcPr>
          <w:p w14:paraId="56C1433C" w14:textId="2177BBAA" w:rsidR="00842329" w:rsidRPr="00A07E93" w:rsidRDefault="00842329" w:rsidP="009F7BF2">
            <w:pPr>
              <w:pStyle w:val="Tablenormalleft"/>
              <w:jc w:val="left"/>
            </w:pPr>
            <w:r w:rsidRPr="00A07E93">
              <w:t xml:space="preserve">Associate's </w:t>
            </w:r>
            <w:r>
              <w:t>d</w:t>
            </w:r>
            <w:r w:rsidRPr="00A07E93">
              <w:t>egree</w:t>
            </w:r>
          </w:p>
        </w:tc>
        <w:tc>
          <w:tcPr>
            <w:tcW w:w="611" w:type="pct"/>
            <w:tcBorders>
              <w:left w:val="single" w:sz="8" w:space="0" w:color="7BA0CD" w:themeColor="accent1" w:themeTint="BF"/>
              <w:right w:val="single" w:sz="8" w:space="0" w:color="7BA0CD" w:themeColor="accent1" w:themeTint="BF"/>
            </w:tcBorders>
            <w:noWrap/>
            <w:vAlign w:val="center"/>
            <w:hideMark/>
          </w:tcPr>
          <w:p w14:paraId="4F3D43B1" w14:textId="3FDEF2A6"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75,152</w:t>
            </w:r>
          </w:p>
        </w:tc>
        <w:tc>
          <w:tcPr>
            <w:tcW w:w="658" w:type="pct"/>
            <w:tcBorders>
              <w:left w:val="single" w:sz="8" w:space="0" w:color="7BA0CD" w:themeColor="accent1" w:themeTint="BF"/>
              <w:right w:val="single" w:sz="8" w:space="0" w:color="7BA0CD" w:themeColor="accent1" w:themeTint="BF"/>
            </w:tcBorders>
            <w:vAlign w:val="center"/>
          </w:tcPr>
          <w:p w14:paraId="0B6E0B04" w14:textId="5AD476BF" w:rsidR="00842329" w:rsidRPr="006805DE"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8%</w:t>
            </w:r>
          </w:p>
        </w:tc>
        <w:tc>
          <w:tcPr>
            <w:tcW w:w="611" w:type="pct"/>
            <w:tcBorders>
              <w:left w:val="single" w:sz="8" w:space="0" w:color="7BA0CD" w:themeColor="accent1" w:themeTint="BF"/>
              <w:right w:val="single" w:sz="8" w:space="0" w:color="7BA0CD" w:themeColor="accent1" w:themeTint="BF"/>
            </w:tcBorders>
            <w:noWrap/>
            <w:vAlign w:val="center"/>
            <w:hideMark/>
          </w:tcPr>
          <w:p w14:paraId="7C5AB08B" w14:textId="58782D51"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79,500</w:t>
            </w:r>
          </w:p>
        </w:tc>
        <w:tc>
          <w:tcPr>
            <w:tcW w:w="657" w:type="pct"/>
            <w:tcBorders>
              <w:left w:val="single" w:sz="8" w:space="0" w:color="7BA0CD" w:themeColor="accent1" w:themeTint="BF"/>
              <w:right w:val="single" w:sz="8" w:space="0" w:color="7BA0CD" w:themeColor="accent1" w:themeTint="BF"/>
            </w:tcBorders>
            <w:vAlign w:val="center"/>
          </w:tcPr>
          <w:p w14:paraId="5BF84F2E" w14:textId="6D4A097B" w:rsidR="00842329" w:rsidRPr="006805DE"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8%</w:t>
            </w:r>
          </w:p>
        </w:tc>
        <w:tc>
          <w:tcPr>
            <w:tcW w:w="611" w:type="pct"/>
            <w:tcBorders>
              <w:left w:val="single" w:sz="8" w:space="0" w:color="7BA0CD" w:themeColor="accent1" w:themeTint="BF"/>
              <w:right w:val="single" w:sz="8" w:space="0" w:color="7BA0CD" w:themeColor="accent1" w:themeTint="BF"/>
            </w:tcBorders>
            <w:vAlign w:val="center"/>
          </w:tcPr>
          <w:p w14:paraId="3E33BD22" w14:textId="4E8E7ED1"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 xml:space="preserve">4,347 </w:t>
            </w:r>
          </w:p>
        </w:tc>
        <w:tc>
          <w:tcPr>
            <w:tcW w:w="666" w:type="pct"/>
            <w:tcBorders>
              <w:left w:val="single" w:sz="8" w:space="0" w:color="7BA0CD" w:themeColor="accent1" w:themeTint="BF"/>
            </w:tcBorders>
            <w:vAlign w:val="center"/>
          </w:tcPr>
          <w:p w14:paraId="61EB85C2" w14:textId="6DB50465" w:rsidR="00842329" w:rsidRPr="00BD1911"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 xml:space="preserve"> (0.2%)</w:t>
            </w:r>
          </w:p>
        </w:tc>
      </w:tr>
      <w:tr w:rsidR="00842329" w:rsidRPr="005A22E3" w14:paraId="2D24D76B" w14:textId="77777777" w:rsidTr="00842329">
        <w:trPr>
          <w:cnfStyle w:val="000000010000" w:firstRow="0" w:lastRow="0" w:firstColumn="0" w:lastColumn="0" w:oddVBand="0" w:evenVBand="0" w:oddHBand="0" w:evenHBand="1"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1186" w:type="pct"/>
            <w:tcBorders>
              <w:right w:val="single" w:sz="8" w:space="0" w:color="7BA0CD" w:themeColor="accent1" w:themeTint="BF"/>
            </w:tcBorders>
            <w:noWrap/>
            <w:vAlign w:val="center"/>
            <w:hideMark/>
          </w:tcPr>
          <w:p w14:paraId="3549469E" w14:textId="58AF420C" w:rsidR="00842329" w:rsidRPr="00A07E93" w:rsidRDefault="00842329" w:rsidP="009F7BF2">
            <w:pPr>
              <w:pStyle w:val="Tablenormalleft"/>
              <w:jc w:val="left"/>
            </w:pPr>
            <w:r w:rsidRPr="00A07E93">
              <w:t xml:space="preserve">Bachelor's </w:t>
            </w:r>
            <w:r>
              <w:t>d</w:t>
            </w:r>
            <w:r w:rsidRPr="00A07E93">
              <w:t>egree</w:t>
            </w:r>
          </w:p>
        </w:tc>
        <w:tc>
          <w:tcPr>
            <w:tcW w:w="611" w:type="pct"/>
            <w:tcBorders>
              <w:left w:val="single" w:sz="8" w:space="0" w:color="7BA0CD" w:themeColor="accent1" w:themeTint="BF"/>
              <w:right w:val="single" w:sz="8" w:space="0" w:color="7BA0CD" w:themeColor="accent1" w:themeTint="BF"/>
            </w:tcBorders>
            <w:noWrap/>
            <w:vAlign w:val="center"/>
            <w:hideMark/>
          </w:tcPr>
          <w:p w14:paraId="5726F191" w14:textId="6387CC5F"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112,473</w:t>
            </w:r>
          </w:p>
        </w:tc>
        <w:tc>
          <w:tcPr>
            <w:tcW w:w="658" w:type="pct"/>
            <w:tcBorders>
              <w:left w:val="single" w:sz="8" w:space="0" w:color="7BA0CD" w:themeColor="accent1" w:themeTint="BF"/>
              <w:right w:val="single" w:sz="8" w:space="0" w:color="7BA0CD" w:themeColor="accent1" w:themeTint="BF"/>
            </w:tcBorders>
            <w:vAlign w:val="center"/>
          </w:tcPr>
          <w:p w14:paraId="52B65372" w14:textId="17983408" w:rsidR="00842329" w:rsidRPr="006805DE"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12%</w:t>
            </w:r>
          </w:p>
        </w:tc>
        <w:tc>
          <w:tcPr>
            <w:tcW w:w="611" w:type="pct"/>
            <w:tcBorders>
              <w:left w:val="single" w:sz="8" w:space="0" w:color="7BA0CD" w:themeColor="accent1" w:themeTint="BF"/>
              <w:right w:val="single" w:sz="8" w:space="0" w:color="7BA0CD" w:themeColor="accent1" w:themeTint="BF"/>
            </w:tcBorders>
            <w:noWrap/>
            <w:vAlign w:val="center"/>
            <w:hideMark/>
          </w:tcPr>
          <w:p w14:paraId="0C0E1D2C" w14:textId="2F117035"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116,805</w:t>
            </w:r>
          </w:p>
        </w:tc>
        <w:tc>
          <w:tcPr>
            <w:tcW w:w="657" w:type="pct"/>
            <w:tcBorders>
              <w:left w:val="single" w:sz="8" w:space="0" w:color="7BA0CD" w:themeColor="accent1" w:themeTint="BF"/>
              <w:right w:val="single" w:sz="8" w:space="0" w:color="7BA0CD" w:themeColor="accent1" w:themeTint="BF"/>
            </w:tcBorders>
            <w:vAlign w:val="center"/>
          </w:tcPr>
          <w:p w14:paraId="5A380F78" w14:textId="6A946B3C" w:rsidR="00842329" w:rsidRPr="006805DE"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11%</w:t>
            </w:r>
          </w:p>
        </w:tc>
        <w:tc>
          <w:tcPr>
            <w:tcW w:w="611" w:type="pct"/>
            <w:tcBorders>
              <w:left w:val="single" w:sz="8" w:space="0" w:color="7BA0CD" w:themeColor="accent1" w:themeTint="BF"/>
              <w:right w:val="single" w:sz="8" w:space="0" w:color="7BA0CD" w:themeColor="accent1" w:themeTint="BF"/>
            </w:tcBorders>
            <w:vAlign w:val="center"/>
          </w:tcPr>
          <w:p w14:paraId="1481DE21" w14:textId="4B312716" w:rsidR="00842329" w:rsidRPr="00BD2A07" w:rsidRDefault="00842329" w:rsidP="00842329">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374343">
              <w:t xml:space="preserve">4,332 </w:t>
            </w:r>
          </w:p>
        </w:tc>
        <w:tc>
          <w:tcPr>
            <w:tcW w:w="666" w:type="pct"/>
            <w:tcBorders>
              <w:left w:val="single" w:sz="8" w:space="0" w:color="7BA0CD" w:themeColor="accent1" w:themeTint="BF"/>
            </w:tcBorders>
            <w:vAlign w:val="center"/>
          </w:tcPr>
          <w:p w14:paraId="553353DB" w14:textId="43A57922" w:rsidR="00842329" w:rsidRPr="00BD1911" w:rsidRDefault="00842329" w:rsidP="00842329">
            <w:pPr>
              <w:pStyle w:val="Tablenormalright"/>
              <w:cnfStyle w:val="000000010000" w:firstRow="0" w:lastRow="0" w:firstColumn="0" w:lastColumn="0" w:oddVBand="0" w:evenVBand="0" w:oddHBand="0" w:evenHBand="1" w:firstRowFirstColumn="0" w:firstRowLastColumn="0" w:lastRowFirstColumn="0" w:lastRowLastColumn="0"/>
            </w:pPr>
            <w:r w:rsidRPr="00374343">
              <w:t xml:space="preserve"> (0.4%)</w:t>
            </w:r>
          </w:p>
        </w:tc>
      </w:tr>
      <w:tr w:rsidR="00842329" w:rsidRPr="005A22E3" w14:paraId="4CCABE8E" w14:textId="77777777" w:rsidTr="00842329">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1186" w:type="pct"/>
            <w:tcBorders>
              <w:bottom w:val="single" w:sz="8" w:space="0" w:color="7BA0CD" w:themeColor="accent1" w:themeTint="BF"/>
              <w:right w:val="single" w:sz="8" w:space="0" w:color="7BA0CD" w:themeColor="accent1" w:themeTint="BF"/>
            </w:tcBorders>
            <w:noWrap/>
            <w:vAlign w:val="center"/>
            <w:hideMark/>
          </w:tcPr>
          <w:p w14:paraId="7968FC0F" w14:textId="72B4BC88" w:rsidR="00842329" w:rsidRPr="00A07E93" w:rsidRDefault="00842329" w:rsidP="009F7BF2">
            <w:pPr>
              <w:pStyle w:val="Tablenormalleft"/>
              <w:jc w:val="left"/>
            </w:pPr>
            <w:r w:rsidRPr="00A07E93">
              <w:t xml:space="preserve">Graduate </w:t>
            </w:r>
            <w:r>
              <w:t>d</w:t>
            </w:r>
            <w:r w:rsidRPr="00A07E93">
              <w:t xml:space="preserve">egree </w:t>
            </w:r>
            <w:r>
              <w:t>or</w:t>
            </w:r>
            <w:r w:rsidRPr="00A07E93">
              <w:t xml:space="preserve"> </w:t>
            </w:r>
            <w:r>
              <w:t>h</w:t>
            </w:r>
            <w:r w:rsidRPr="00A07E93">
              <w:t>igher</w:t>
            </w:r>
          </w:p>
        </w:tc>
        <w:tc>
          <w:tcPr>
            <w:tcW w:w="611" w:type="pct"/>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B9AC3A2" w14:textId="2B5576FD"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52,108</w:t>
            </w:r>
          </w:p>
        </w:tc>
        <w:tc>
          <w:tcPr>
            <w:tcW w:w="658" w:type="pct"/>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60ECC120" w14:textId="2ADE75CA" w:rsidR="00842329" w:rsidRPr="006805DE"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5%</w:t>
            </w:r>
          </w:p>
        </w:tc>
        <w:tc>
          <w:tcPr>
            <w:tcW w:w="611" w:type="pct"/>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0B50052E" w14:textId="0EAF900A"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53,581</w:t>
            </w:r>
          </w:p>
        </w:tc>
        <w:tc>
          <w:tcPr>
            <w:tcW w:w="657" w:type="pct"/>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7502651A" w14:textId="21C545E5" w:rsidR="00842329" w:rsidRPr="006805DE"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5%</w:t>
            </w:r>
          </w:p>
        </w:tc>
        <w:tc>
          <w:tcPr>
            <w:tcW w:w="611" w:type="pct"/>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7E37BB2" w14:textId="1C057A62" w:rsidR="00842329" w:rsidRPr="00BD2A07" w:rsidRDefault="00842329" w:rsidP="00842329">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374343">
              <w:t xml:space="preserve">1,473 </w:t>
            </w:r>
          </w:p>
        </w:tc>
        <w:tc>
          <w:tcPr>
            <w:tcW w:w="666" w:type="pct"/>
            <w:tcBorders>
              <w:left w:val="single" w:sz="8" w:space="0" w:color="7BA0CD" w:themeColor="accent1" w:themeTint="BF"/>
              <w:bottom w:val="single" w:sz="8" w:space="0" w:color="7BA0CD" w:themeColor="accent1" w:themeTint="BF"/>
            </w:tcBorders>
            <w:vAlign w:val="center"/>
          </w:tcPr>
          <w:p w14:paraId="0D0D282B" w14:textId="19BCA7C8" w:rsidR="00842329" w:rsidRPr="00BD1911" w:rsidRDefault="00842329" w:rsidP="00842329">
            <w:pPr>
              <w:pStyle w:val="Tablenormalright"/>
              <w:cnfStyle w:val="000000100000" w:firstRow="0" w:lastRow="0" w:firstColumn="0" w:lastColumn="0" w:oddVBand="0" w:evenVBand="0" w:oddHBand="1" w:evenHBand="0" w:firstRowFirstColumn="0" w:firstRowLastColumn="0" w:lastRowFirstColumn="0" w:lastRowLastColumn="0"/>
            </w:pPr>
            <w:r w:rsidRPr="00374343">
              <w:t xml:space="preserve"> (0.3%)</w:t>
            </w:r>
          </w:p>
        </w:tc>
      </w:tr>
      <w:tr w:rsidR="00E56D31" w:rsidRPr="005A22E3" w14:paraId="437F4B07" w14:textId="77777777" w:rsidTr="00E56D31">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il"/>
              <w:bottom w:val="nil"/>
              <w:right w:val="nil"/>
            </w:tcBorders>
            <w:shd w:val="clear" w:color="auto" w:fill="auto"/>
            <w:noWrap/>
          </w:tcPr>
          <w:p w14:paraId="18FD2BA0" w14:textId="23CAFE8F" w:rsidR="00E56D31" w:rsidRPr="00A07E93" w:rsidRDefault="00E56D31" w:rsidP="00EB070D">
            <w:pPr>
              <w:pStyle w:val="Tablefooterlastline"/>
              <w:rPr>
                <w:rFonts w:ascii="Calibri" w:hAnsi="Calibri"/>
                <w:szCs w:val="18"/>
              </w:rPr>
            </w:pPr>
            <w:r w:rsidRPr="00A07E93">
              <w:t>Sou</w:t>
            </w:r>
            <w:r w:rsidR="006C38C7">
              <w:t>CCC</w:t>
            </w:r>
            <w:r w:rsidRPr="00A07E93">
              <w:t xml:space="preserve">e: EMSI Complete Data </w:t>
            </w:r>
            <w:r w:rsidR="004F7D7D">
              <w:t>2014.3</w:t>
            </w:r>
          </w:p>
        </w:tc>
      </w:tr>
    </w:tbl>
    <w:p w14:paraId="1A8036B3" w14:textId="0569C312" w:rsidR="004317C4" w:rsidRDefault="00AD5379" w:rsidP="00224ECE">
      <w:pPr>
        <w:pStyle w:val="FigureTitle"/>
        <w:keepNext/>
      </w:pPr>
      <w:r w:rsidRPr="00562108">
        <w:t>Figure</w:t>
      </w:r>
      <w:r>
        <w:t xml:space="preserve"> </w:t>
      </w:r>
      <w:r w:rsidR="00E067A0">
        <w:t>1.</w:t>
      </w:r>
      <w:r w:rsidR="009C0059">
        <w:t>9</w:t>
      </w:r>
      <w:r w:rsidRPr="00562108">
        <w:t xml:space="preserve">: Educational Attainment </w:t>
      </w:r>
      <w:r w:rsidR="00ED39FF">
        <w:t xml:space="preserve">of Adult Population in </w:t>
      </w:r>
      <w:r w:rsidR="006628FA">
        <w:t xml:space="preserve">the </w:t>
      </w:r>
      <w:r w:rsidR="006C38C7">
        <w:t>CCC</w:t>
      </w:r>
      <w:r w:rsidR="006628FA">
        <w:t xml:space="preserve"> </w:t>
      </w:r>
      <w:r w:rsidR="00B101E7">
        <w:t>Economic Region</w:t>
      </w:r>
    </w:p>
    <w:p w14:paraId="43BF3C7B" w14:textId="1C3110BE" w:rsidR="00377B00" w:rsidRDefault="00842329" w:rsidP="00377B00">
      <w:r>
        <w:rPr>
          <w:noProof/>
        </w:rPr>
        <w:drawing>
          <wp:inline distT="0" distB="0" distL="0" distR="0" wp14:anchorId="215C0CE9" wp14:editId="2DDD36E1">
            <wp:extent cx="5943600" cy="305498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B0CC1A" w14:textId="72835084" w:rsidR="000A4A6F" w:rsidRDefault="00475E2D" w:rsidP="001A6A8F">
      <w:pPr>
        <w:pStyle w:val="Heading3"/>
        <w:rPr>
          <w:rFonts w:eastAsiaTheme="majorEastAsia"/>
        </w:rPr>
      </w:pPr>
      <w:bookmarkStart w:id="15" w:name="_Toc428785412"/>
      <w:r>
        <w:rPr>
          <w:rFonts w:eastAsiaTheme="majorEastAsia"/>
        </w:rPr>
        <w:t xml:space="preserve">Educational Attainment by </w:t>
      </w:r>
      <w:r w:rsidR="000A4A6F" w:rsidRPr="000A4A6F">
        <w:rPr>
          <w:rFonts w:eastAsiaTheme="majorEastAsia"/>
        </w:rPr>
        <w:t>Gender</w:t>
      </w:r>
      <w:bookmarkEnd w:id="15"/>
    </w:p>
    <w:p w14:paraId="184BEAA8" w14:textId="0985C2BE" w:rsidR="009063A2" w:rsidRDefault="00D05B49" w:rsidP="004A4F48">
      <w:r>
        <w:t>T</w:t>
      </w:r>
      <w:r w:rsidR="00237370">
        <w:t xml:space="preserve">he distribution </w:t>
      </w:r>
      <w:r w:rsidR="00F406FA">
        <w:t>of education</w:t>
      </w:r>
      <w:r>
        <w:t>al</w:t>
      </w:r>
      <w:r w:rsidR="00F406FA">
        <w:t xml:space="preserve"> attainment </w:t>
      </w:r>
      <w:r>
        <w:t xml:space="preserve">by gender </w:t>
      </w:r>
      <w:r w:rsidR="003C0AB9">
        <w:t xml:space="preserve">is </w:t>
      </w:r>
      <w:r w:rsidR="00F406FA">
        <w:t>fairly even</w:t>
      </w:r>
      <w:r>
        <w:t xml:space="preserve"> in </w:t>
      </w:r>
      <w:r w:rsidR="006628FA">
        <w:t xml:space="preserve">the </w:t>
      </w:r>
      <w:r w:rsidR="006C38C7">
        <w:t>CCC</w:t>
      </w:r>
      <w:r w:rsidR="006628FA">
        <w:t xml:space="preserve"> </w:t>
      </w:r>
      <w:r w:rsidR="00B101E7">
        <w:t>Economic Region</w:t>
      </w:r>
      <w:r w:rsidR="00F406FA">
        <w:t>.</w:t>
      </w:r>
      <w:r w:rsidR="009C7B20">
        <w:t xml:space="preserve"> </w:t>
      </w:r>
      <w:r w:rsidR="00B95487">
        <w:t>M</w:t>
      </w:r>
      <w:r w:rsidR="002F30C4">
        <w:t xml:space="preserve">ales are slightly more likely to </w:t>
      </w:r>
      <w:r w:rsidR="003059C0">
        <w:t>have “Le</w:t>
      </w:r>
      <w:r w:rsidR="00A1094B">
        <w:t>ss than high school diploma</w:t>
      </w:r>
      <w:r w:rsidR="00795583">
        <w:t>”</w:t>
      </w:r>
      <w:r w:rsidR="002F30C4">
        <w:t xml:space="preserve"> </w:t>
      </w:r>
      <w:r w:rsidR="006B2208">
        <w:t>level</w:t>
      </w:r>
      <w:r w:rsidR="002F30C4">
        <w:t xml:space="preserve"> of education while</w:t>
      </w:r>
      <w:r w:rsidR="00E62E12">
        <w:t xml:space="preserve"> </w:t>
      </w:r>
      <w:r w:rsidR="006B2208">
        <w:t>fe</w:t>
      </w:r>
      <w:r w:rsidR="00E62E12">
        <w:t>males are more likely to have</w:t>
      </w:r>
      <w:r w:rsidR="00DD0B72">
        <w:t xml:space="preserve"> </w:t>
      </w:r>
      <w:r w:rsidR="00A1094B">
        <w:t>“Some college,”</w:t>
      </w:r>
      <w:r w:rsidR="00795583">
        <w:t xml:space="preserve"> “Associate’s degree</w:t>
      </w:r>
      <w:r w:rsidR="00A1094B">
        <w:t>,</w:t>
      </w:r>
      <w:r w:rsidR="00795583">
        <w:t>”</w:t>
      </w:r>
      <w:r w:rsidR="00A1094B">
        <w:t xml:space="preserve"> or “Bachelor’s degree”</w:t>
      </w:r>
      <w:r w:rsidR="006B2208">
        <w:t xml:space="preserve"> levels</w:t>
      </w:r>
      <w:r w:rsidR="00B82647">
        <w:t xml:space="preserve">. </w:t>
      </w:r>
      <w:r w:rsidR="00ED39FF">
        <w:t xml:space="preserve">This information appears in Table </w:t>
      </w:r>
      <w:r w:rsidR="00E067A0">
        <w:t>1.</w:t>
      </w:r>
      <w:r w:rsidR="00ED39FF">
        <w:t xml:space="preserve">9 and Figure </w:t>
      </w:r>
      <w:r w:rsidR="00E067A0">
        <w:t>1.</w:t>
      </w:r>
      <w:r w:rsidR="00057A03">
        <w:t>10</w:t>
      </w:r>
      <w:r w:rsidR="00ED39FF">
        <w:t>.</w:t>
      </w:r>
      <w:r w:rsidR="00840C05">
        <w:t xml:space="preserve"> </w:t>
      </w:r>
    </w:p>
    <w:tbl>
      <w:tblPr>
        <w:tblStyle w:val="MediumShading1-Accent1"/>
        <w:tblW w:w="9468" w:type="dxa"/>
        <w:tblLayout w:type="fixed"/>
        <w:tblLook w:val="04A0" w:firstRow="1" w:lastRow="0" w:firstColumn="1" w:lastColumn="0" w:noHBand="0" w:noVBand="1"/>
      </w:tblPr>
      <w:tblGrid>
        <w:gridCol w:w="4789"/>
        <w:gridCol w:w="1079"/>
        <w:gridCol w:w="1265"/>
        <w:gridCol w:w="1081"/>
        <w:gridCol w:w="1254"/>
      </w:tblGrid>
      <w:tr w:rsidR="007751D8" w:rsidRPr="005A22E3" w14:paraId="0649A4A7" w14:textId="77777777" w:rsidTr="00ED39FF">
        <w:trPr>
          <w:cnfStyle w:val="100000000000" w:firstRow="1" w:lastRow="0" w:firstColumn="0" w:lastColumn="0" w:oddVBand="0" w:evenVBand="0" w:oddHBand="0" w:evenHBand="0" w:firstRowFirstColumn="0" w:firstRowLastColumn="0" w:lastRowFirstColumn="0" w:lastRowLastColumn="0"/>
          <w:trHeight w:hRule="exact" w:val="675"/>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right w:val="nil"/>
            </w:tcBorders>
            <w:shd w:val="clear" w:color="auto" w:fill="auto"/>
            <w:noWrap/>
          </w:tcPr>
          <w:p w14:paraId="6536E705" w14:textId="0E9725C5" w:rsidR="007751D8" w:rsidRPr="00244673" w:rsidRDefault="007751D8" w:rsidP="00142543">
            <w:pPr>
              <w:pStyle w:val="Tabletitle"/>
              <w:rPr>
                <w:rFonts w:ascii="Calibri" w:hAnsi="Calibri"/>
                <w:b/>
                <w:szCs w:val="18"/>
              </w:rPr>
            </w:pPr>
            <w:r w:rsidRPr="00244673">
              <w:rPr>
                <w:b/>
              </w:rPr>
              <w:t xml:space="preserve">Table </w:t>
            </w:r>
            <w:r w:rsidR="00E067A0">
              <w:rPr>
                <w:b/>
              </w:rPr>
              <w:t>1.</w:t>
            </w:r>
            <w:r w:rsidRPr="00244673">
              <w:rPr>
                <w:b/>
              </w:rPr>
              <w:t xml:space="preserve">9: </w:t>
            </w:r>
            <w:r w:rsidR="00ED39FF">
              <w:rPr>
                <w:b/>
              </w:rPr>
              <w:t xml:space="preserve">Breakdown of Adult Population in </w:t>
            </w:r>
            <w:r w:rsidR="00385498">
              <w:rPr>
                <w:b/>
              </w:rPr>
              <w:t xml:space="preserve">the </w:t>
            </w:r>
            <w:r w:rsidR="006C38C7">
              <w:rPr>
                <w:b/>
              </w:rPr>
              <w:t>CCC</w:t>
            </w:r>
            <w:r w:rsidR="00373EB5">
              <w:rPr>
                <w:b/>
              </w:rPr>
              <w:t xml:space="preserve"> </w:t>
            </w:r>
            <w:r w:rsidR="00B101E7">
              <w:rPr>
                <w:b/>
              </w:rPr>
              <w:t>Economic Region</w:t>
            </w:r>
            <w:r w:rsidR="00ED39FF">
              <w:rPr>
                <w:b/>
              </w:rPr>
              <w:t xml:space="preserve"> by Educational Attainment and Gender</w:t>
            </w:r>
          </w:p>
        </w:tc>
      </w:tr>
      <w:tr w:rsidR="007751D8" w:rsidRPr="005A22E3" w14:paraId="1BADFE9C" w14:textId="77777777" w:rsidTr="00B858C8">
        <w:trPr>
          <w:cnfStyle w:val="000000100000" w:firstRow="0" w:lastRow="0" w:firstColumn="0" w:lastColumn="0" w:oddVBand="0" w:evenVBand="0" w:oddHBand="1"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2529" w:type="pct"/>
            <w:tcBorders>
              <w:right w:val="single" w:sz="8" w:space="0" w:color="7BA0CD" w:themeColor="accent1" w:themeTint="BF"/>
            </w:tcBorders>
            <w:shd w:val="clear" w:color="auto" w:fill="4F81BD" w:themeFill="accent1"/>
            <w:noWrap/>
            <w:vAlign w:val="center"/>
            <w:hideMark/>
          </w:tcPr>
          <w:p w14:paraId="523E5B7B" w14:textId="77777777" w:rsidR="007751D8" w:rsidRPr="002E7E2D" w:rsidRDefault="007751D8" w:rsidP="00384961">
            <w:pPr>
              <w:pStyle w:val="Tableheaderleft"/>
              <w:jc w:val="center"/>
            </w:pPr>
            <w:r w:rsidRPr="002E7E2D">
              <w:t>Ed</w:t>
            </w:r>
            <w:r>
              <w:t>ucation</w:t>
            </w:r>
            <w:r w:rsidRPr="002E7E2D">
              <w:t xml:space="preserve"> Level</w:t>
            </w:r>
          </w:p>
        </w:tc>
        <w:tc>
          <w:tcPr>
            <w:tcW w:w="570" w:type="pct"/>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3D485C18" w14:textId="77777777" w:rsidR="007751D8" w:rsidRPr="005A22E3" w:rsidRDefault="007751D8" w:rsidP="008E0427">
            <w:pPr>
              <w:pStyle w:val="Tableheadercenter"/>
              <w:cnfStyle w:val="000000100000" w:firstRow="0" w:lastRow="0" w:firstColumn="0" w:lastColumn="0" w:oddVBand="0" w:evenVBand="0" w:oddHBand="1" w:evenHBand="0" w:firstRowFirstColumn="0" w:firstRowLastColumn="0" w:lastRowFirstColumn="0" w:lastRowLastColumn="0"/>
            </w:pPr>
            <w:r>
              <w:t>Males</w:t>
            </w:r>
          </w:p>
        </w:tc>
        <w:tc>
          <w:tcPr>
            <w:tcW w:w="668" w:type="pct"/>
            <w:tcBorders>
              <w:left w:val="single" w:sz="8" w:space="0" w:color="7BA0CD" w:themeColor="accent1" w:themeTint="BF"/>
              <w:right w:val="single" w:sz="8" w:space="0" w:color="7BA0CD" w:themeColor="accent1" w:themeTint="BF"/>
            </w:tcBorders>
            <w:shd w:val="clear" w:color="auto" w:fill="4F81BD" w:themeFill="accent1"/>
            <w:noWrap/>
            <w:vAlign w:val="center"/>
            <w:hideMark/>
          </w:tcPr>
          <w:p w14:paraId="1C01D977" w14:textId="77777777" w:rsidR="007751D8" w:rsidRPr="005A22E3" w:rsidRDefault="007751D8" w:rsidP="008E0427">
            <w:pPr>
              <w:pStyle w:val="Tableheadercenter"/>
              <w:cnfStyle w:val="000000100000" w:firstRow="0" w:lastRow="0" w:firstColumn="0" w:lastColumn="0" w:oddVBand="0" w:evenVBand="0" w:oddHBand="1" w:evenHBand="0" w:firstRowFirstColumn="0" w:firstRowLastColumn="0" w:lastRowFirstColumn="0" w:lastRowLastColumn="0"/>
            </w:pPr>
            <w:r>
              <w:t>Proportion</w:t>
            </w:r>
          </w:p>
        </w:tc>
        <w:tc>
          <w:tcPr>
            <w:tcW w:w="571" w:type="pct"/>
            <w:tcBorders>
              <w:left w:val="single" w:sz="8" w:space="0" w:color="7BA0CD" w:themeColor="accent1" w:themeTint="BF"/>
              <w:right w:val="single" w:sz="8" w:space="0" w:color="7BA0CD" w:themeColor="accent1" w:themeTint="BF"/>
            </w:tcBorders>
            <w:shd w:val="clear" w:color="auto" w:fill="4F81BD" w:themeFill="accent1"/>
            <w:vAlign w:val="center"/>
          </w:tcPr>
          <w:p w14:paraId="0E006E6B" w14:textId="77777777" w:rsidR="007751D8" w:rsidRPr="005A22E3" w:rsidRDefault="007751D8" w:rsidP="008E0427">
            <w:pPr>
              <w:pStyle w:val="Tableheadercenter"/>
              <w:cnfStyle w:val="000000100000" w:firstRow="0" w:lastRow="0" w:firstColumn="0" w:lastColumn="0" w:oddVBand="0" w:evenVBand="0" w:oddHBand="1" w:evenHBand="0" w:firstRowFirstColumn="0" w:firstRowLastColumn="0" w:lastRowFirstColumn="0" w:lastRowLastColumn="0"/>
            </w:pPr>
            <w:r>
              <w:t>Females</w:t>
            </w:r>
          </w:p>
        </w:tc>
        <w:tc>
          <w:tcPr>
            <w:tcW w:w="662" w:type="pct"/>
            <w:tcBorders>
              <w:left w:val="single" w:sz="8" w:space="0" w:color="7BA0CD" w:themeColor="accent1" w:themeTint="BF"/>
            </w:tcBorders>
            <w:shd w:val="clear" w:color="auto" w:fill="4F81BD" w:themeFill="accent1"/>
            <w:vAlign w:val="center"/>
          </w:tcPr>
          <w:p w14:paraId="4198BD96" w14:textId="77777777" w:rsidR="007751D8" w:rsidRPr="005A22E3" w:rsidRDefault="007751D8" w:rsidP="008E0427">
            <w:pPr>
              <w:pStyle w:val="Tableheadercenter"/>
              <w:cnfStyle w:val="000000100000" w:firstRow="0" w:lastRow="0" w:firstColumn="0" w:lastColumn="0" w:oddVBand="0" w:evenVBand="0" w:oddHBand="1" w:evenHBand="0" w:firstRowFirstColumn="0" w:firstRowLastColumn="0" w:lastRowFirstColumn="0" w:lastRowLastColumn="0"/>
            </w:pPr>
            <w:r>
              <w:t>Proportion</w:t>
            </w:r>
          </w:p>
        </w:tc>
      </w:tr>
      <w:tr w:rsidR="00551EF0" w:rsidRPr="005A22E3" w14:paraId="432F983F" w14:textId="77777777" w:rsidTr="00551EF0">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29" w:type="pct"/>
            <w:tcBorders>
              <w:right w:val="single" w:sz="8" w:space="0" w:color="7BA0CD" w:themeColor="accent1" w:themeTint="BF"/>
            </w:tcBorders>
            <w:noWrap/>
            <w:vAlign w:val="center"/>
            <w:hideMark/>
          </w:tcPr>
          <w:p w14:paraId="7D0D5559" w14:textId="1C4A4075" w:rsidR="00551EF0" w:rsidRPr="00A07E93" w:rsidRDefault="00551EF0" w:rsidP="00431260">
            <w:pPr>
              <w:pStyle w:val="Tablenormalleft"/>
              <w:jc w:val="left"/>
            </w:pPr>
            <w:r>
              <w:t>Less than high school diploma or equivalent</w:t>
            </w:r>
          </w:p>
        </w:tc>
        <w:tc>
          <w:tcPr>
            <w:tcW w:w="570" w:type="pct"/>
            <w:tcBorders>
              <w:left w:val="single" w:sz="8" w:space="0" w:color="7BA0CD" w:themeColor="accent1" w:themeTint="BF"/>
              <w:right w:val="single" w:sz="8" w:space="0" w:color="7BA0CD" w:themeColor="accent1" w:themeTint="BF"/>
            </w:tcBorders>
            <w:noWrap/>
            <w:vAlign w:val="center"/>
            <w:hideMark/>
          </w:tcPr>
          <w:p w14:paraId="03903DC2" w14:textId="2795FC3A"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176,163</w:t>
            </w:r>
          </w:p>
        </w:tc>
        <w:tc>
          <w:tcPr>
            <w:tcW w:w="668" w:type="pct"/>
            <w:tcBorders>
              <w:left w:val="single" w:sz="8" w:space="0" w:color="7BA0CD" w:themeColor="accent1" w:themeTint="BF"/>
              <w:right w:val="single" w:sz="8" w:space="0" w:color="7BA0CD" w:themeColor="accent1" w:themeTint="BF"/>
            </w:tcBorders>
            <w:noWrap/>
            <w:vAlign w:val="center"/>
            <w:hideMark/>
          </w:tcPr>
          <w:p w14:paraId="4F9DE9B5" w14:textId="75B2D851"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34%</w:t>
            </w:r>
          </w:p>
        </w:tc>
        <w:tc>
          <w:tcPr>
            <w:tcW w:w="571" w:type="pct"/>
            <w:tcBorders>
              <w:left w:val="single" w:sz="8" w:space="0" w:color="7BA0CD" w:themeColor="accent1" w:themeTint="BF"/>
              <w:right w:val="single" w:sz="8" w:space="0" w:color="7BA0CD" w:themeColor="accent1" w:themeTint="BF"/>
            </w:tcBorders>
            <w:vAlign w:val="center"/>
          </w:tcPr>
          <w:p w14:paraId="781BA15D" w14:textId="48D8072F"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155,935</w:t>
            </w:r>
          </w:p>
        </w:tc>
        <w:tc>
          <w:tcPr>
            <w:tcW w:w="662" w:type="pct"/>
            <w:tcBorders>
              <w:left w:val="single" w:sz="8" w:space="0" w:color="7BA0CD" w:themeColor="accent1" w:themeTint="BF"/>
            </w:tcBorders>
            <w:vAlign w:val="center"/>
          </w:tcPr>
          <w:p w14:paraId="570A5A1B" w14:textId="4DAE0E4F" w:rsidR="00551EF0" w:rsidRPr="00BD1911" w:rsidRDefault="00551EF0" w:rsidP="00551EF0">
            <w:pPr>
              <w:pStyle w:val="Tablenormalright"/>
              <w:cnfStyle w:val="000000010000" w:firstRow="0" w:lastRow="0" w:firstColumn="0" w:lastColumn="0" w:oddVBand="0" w:evenVBand="0" w:oddHBand="0" w:evenHBand="1" w:firstRowFirstColumn="0" w:firstRowLastColumn="0" w:lastRowFirstColumn="0" w:lastRowLastColumn="0"/>
            </w:pPr>
            <w:r w:rsidRPr="00423E23">
              <w:t>30%</w:t>
            </w:r>
          </w:p>
        </w:tc>
      </w:tr>
      <w:tr w:rsidR="00551EF0" w:rsidRPr="005A22E3" w14:paraId="5093B8B1" w14:textId="77777777" w:rsidTr="00551EF0">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29" w:type="pct"/>
            <w:tcBorders>
              <w:right w:val="single" w:sz="8" w:space="0" w:color="7BA0CD" w:themeColor="accent1" w:themeTint="BF"/>
            </w:tcBorders>
            <w:noWrap/>
            <w:vAlign w:val="center"/>
            <w:hideMark/>
          </w:tcPr>
          <w:p w14:paraId="13F08BF2" w14:textId="67979994" w:rsidR="00551EF0" w:rsidRPr="00A07E93" w:rsidRDefault="00551EF0" w:rsidP="00431260">
            <w:pPr>
              <w:pStyle w:val="Tablenormalleft"/>
              <w:jc w:val="left"/>
            </w:pPr>
            <w:r w:rsidRPr="00A07E93">
              <w:t xml:space="preserve">High </w:t>
            </w:r>
            <w:r>
              <w:t>s</w:t>
            </w:r>
            <w:r w:rsidRPr="00A07E93">
              <w:t xml:space="preserve">chool </w:t>
            </w:r>
            <w:r>
              <w:t>d</w:t>
            </w:r>
            <w:r w:rsidRPr="00A07E93">
              <w:t>iploma</w:t>
            </w:r>
            <w:r>
              <w:t xml:space="preserve"> or equivalent</w:t>
            </w:r>
          </w:p>
        </w:tc>
        <w:tc>
          <w:tcPr>
            <w:tcW w:w="570" w:type="pct"/>
            <w:tcBorders>
              <w:left w:val="single" w:sz="8" w:space="0" w:color="7BA0CD" w:themeColor="accent1" w:themeTint="BF"/>
              <w:right w:val="single" w:sz="8" w:space="0" w:color="7BA0CD" w:themeColor="accent1" w:themeTint="BF"/>
            </w:tcBorders>
            <w:noWrap/>
            <w:vAlign w:val="center"/>
            <w:hideMark/>
          </w:tcPr>
          <w:p w14:paraId="0E357B57" w14:textId="0C7216BB"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114,302</w:t>
            </w:r>
          </w:p>
        </w:tc>
        <w:tc>
          <w:tcPr>
            <w:tcW w:w="668" w:type="pct"/>
            <w:tcBorders>
              <w:left w:val="single" w:sz="8" w:space="0" w:color="7BA0CD" w:themeColor="accent1" w:themeTint="BF"/>
              <w:right w:val="single" w:sz="8" w:space="0" w:color="7BA0CD" w:themeColor="accent1" w:themeTint="BF"/>
            </w:tcBorders>
            <w:noWrap/>
            <w:vAlign w:val="center"/>
            <w:hideMark/>
          </w:tcPr>
          <w:p w14:paraId="34C96377" w14:textId="707C4E4D"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22%</w:t>
            </w:r>
          </w:p>
        </w:tc>
        <w:tc>
          <w:tcPr>
            <w:tcW w:w="571" w:type="pct"/>
            <w:tcBorders>
              <w:left w:val="single" w:sz="8" w:space="0" w:color="7BA0CD" w:themeColor="accent1" w:themeTint="BF"/>
              <w:right w:val="single" w:sz="8" w:space="0" w:color="7BA0CD" w:themeColor="accent1" w:themeTint="BF"/>
            </w:tcBorders>
            <w:vAlign w:val="center"/>
          </w:tcPr>
          <w:p w14:paraId="2CF9A22D" w14:textId="60781237"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117,236</w:t>
            </w:r>
          </w:p>
        </w:tc>
        <w:tc>
          <w:tcPr>
            <w:tcW w:w="662" w:type="pct"/>
            <w:tcBorders>
              <w:left w:val="single" w:sz="8" w:space="0" w:color="7BA0CD" w:themeColor="accent1" w:themeTint="BF"/>
            </w:tcBorders>
            <w:vAlign w:val="center"/>
          </w:tcPr>
          <w:p w14:paraId="7FCF58EF" w14:textId="698150E7" w:rsidR="00551EF0" w:rsidRPr="00BD1911" w:rsidRDefault="00551EF0" w:rsidP="00551EF0">
            <w:pPr>
              <w:pStyle w:val="Tablenormalright"/>
              <w:cnfStyle w:val="000000100000" w:firstRow="0" w:lastRow="0" w:firstColumn="0" w:lastColumn="0" w:oddVBand="0" w:evenVBand="0" w:oddHBand="1" w:evenHBand="0" w:firstRowFirstColumn="0" w:firstRowLastColumn="0" w:lastRowFirstColumn="0" w:lastRowLastColumn="0"/>
            </w:pPr>
            <w:r w:rsidRPr="00423E23">
              <w:t>22%</w:t>
            </w:r>
          </w:p>
        </w:tc>
      </w:tr>
      <w:tr w:rsidR="00551EF0" w:rsidRPr="005A22E3" w14:paraId="093B7C0D" w14:textId="77777777" w:rsidTr="00551EF0">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29" w:type="pct"/>
            <w:tcBorders>
              <w:right w:val="single" w:sz="8" w:space="0" w:color="7BA0CD" w:themeColor="accent1" w:themeTint="BF"/>
            </w:tcBorders>
            <w:noWrap/>
            <w:vAlign w:val="center"/>
            <w:hideMark/>
          </w:tcPr>
          <w:p w14:paraId="4E213F7B" w14:textId="3AC25776" w:rsidR="00551EF0" w:rsidRPr="00A07E93" w:rsidRDefault="00551EF0" w:rsidP="00431260">
            <w:pPr>
              <w:pStyle w:val="Tablenormalleft"/>
              <w:jc w:val="left"/>
            </w:pPr>
            <w:r w:rsidRPr="00A07E93">
              <w:t xml:space="preserve">Some </w:t>
            </w:r>
            <w:r>
              <w:t>c</w:t>
            </w:r>
            <w:r w:rsidRPr="00A07E93">
              <w:t>ollege</w:t>
            </w:r>
          </w:p>
        </w:tc>
        <w:tc>
          <w:tcPr>
            <w:tcW w:w="570" w:type="pct"/>
            <w:tcBorders>
              <w:left w:val="single" w:sz="8" w:space="0" w:color="7BA0CD" w:themeColor="accent1" w:themeTint="BF"/>
              <w:right w:val="single" w:sz="8" w:space="0" w:color="7BA0CD" w:themeColor="accent1" w:themeTint="BF"/>
            </w:tcBorders>
            <w:noWrap/>
            <w:vAlign w:val="center"/>
            <w:hideMark/>
          </w:tcPr>
          <w:p w14:paraId="6C8D4213" w14:textId="06286976"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111,471</w:t>
            </w:r>
          </w:p>
        </w:tc>
        <w:tc>
          <w:tcPr>
            <w:tcW w:w="668" w:type="pct"/>
            <w:tcBorders>
              <w:left w:val="single" w:sz="8" w:space="0" w:color="7BA0CD" w:themeColor="accent1" w:themeTint="BF"/>
              <w:right w:val="single" w:sz="8" w:space="0" w:color="7BA0CD" w:themeColor="accent1" w:themeTint="BF"/>
            </w:tcBorders>
            <w:noWrap/>
            <w:vAlign w:val="center"/>
            <w:hideMark/>
          </w:tcPr>
          <w:p w14:paraId="022CBE6E" w14:textId="7B703B4F"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21%</w:t>
            </w:r>
          </w:p>
        </w:tc>
        <w:tc>
          <w:tcPr>
            <w:tcW w:w="571" w:type="pct"/>
            <w:tcBorders>
              <w:left w:val="single" w:sz="8" w:space="0" w:color="7BA0CD" w:themeColor="accent1" w:themeTint="BF"/>
              <w:right w:val="single" w:sz="8" w:space="0" w:color="7BA0CD" w:themeColor="accent1" w:themeTint="BF"/>
            </w:tcBorders>
            <w:vAlign w:val="center"/>
          </w:tcPr>
          <w:p w14:paraId="09922841" w14:textId="6C509B90"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120,213</w:t>
            </w:r>
          </w:p>
        </w:tc>
        <w:tc>
          <w:tcPr>
            <w:tcW w:w="662" w:type="pct"/>
            <w:tcBorders>
              <w:left w:val="single" w:sz="8" w:space="0" w:color="7BA0CD" w:themeColor="accent1" w:themeTint="BF"/>
            </w:tcBorders>
            <w:vAlign w:val="center"/>
          </w:tcPr>
          <w:p w14:paraId="471EF21F" w14:textId="489550D4" w:rsidR="00551EF0" w:rsidRPr="00BD1911" w:rsidRDefault="00551EF0" w:rsidP="00551EF0">
            <w:pPr>
              <w:pStyle w:val="Tablenormalright"/>
              <w:cnfStyle w:val="000000010000" w:firstRow="0" w:lastRow="0" w:firstColumn="0" w:lastColumn="0" w:oddVBand="0" w:evenVBand="0" w:oddHBand="0" w:evenHBand="1" w:firstRowFirstColumn="0" w:firstRowLastColumn="0" w:lastRowFirstColumn="0" w:lastRowLastColumn="0"/>
            </w:pPr>
            <w:r w:rsidRPr="00423E23">
              <w:t>23%</w:t>
            </w:r>
          </w:p>
        </w:tc>
      </w:tr>
      <w:tr w:rsidR="00551EF0" w:rsidRPr="005A22E3" w14:paraId="038061D5" w14:textId="77777777" w:rsidTr="00551EF0">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29" w:type="pct"/>
            <w:tcBorders>
              <w:right w:val="single" w:sz="8" w:space="0" w:color="7BA0CD" w:themeColor="accent1" w:themeTint="BF"/>
            </w:tcBorders>
            <w:noWrap/>
            <w:vAlign w:val="center"/>
            <w:hideMark/>
          </w:tcPr>
          <w:p w14:paraId="4A12BF63" w14:textId="7FFF0DED" w:rsidR="00551EF0" w:rsidRPr="00A07E93" w:rsidRDefault="00551EF0" w:rsidP="00431260">
            <w:pPr>
              <w:pStyle w:val="Tablenormalleft"/>
              <w:jc w:val="left"/>
            </w:pPr>
            <w:r w:rsidRPr="00A07E93">
              <w:t xml:space="preserve">Associate's </w:t>
            </w:r>
            <w:r>
              <w:t>d</w:t>
            </w:r>
            <w:r w:rsidRPr="00A07E93">
              <w:t>egree</w:t>
            </w:r>
          </w:p>
        </w:tc>
        <w:tc>
          <w:tcPr>
            <w:tcW w:w="570" w:type="pct"/>
            <w:tcBorders>
              <w:left w:val="single" w:sz="8" w:space="0" w:color="7BA0CD" w:themeColor="accent1" w:themeTint="BF"/>
              <w:right w:val="single" w:sz="8" w:space="0" w:color="7BA0CD" w:themeColor="accent1" w:themeTint="BF"/>
            </w:tcBorders>
            <w:noWrap/>
            <w:vAlign w:val="center"/>
            <w:hideMark/>
          </w:tcPr>
          <w:p w14:paraId="4C450970" w14:textId="01A1AA90"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36,944</w:t>
            </w:r>
          </w:p>
        </w:tc>
        <w:tc>
          <w:tcPr>
            <w:tcW w:w="668" w:type="pct"/>
            <w:tcBorders>
              <w:left w:val="single" w:sz="8" w:space="0" w:color="7BA0CD" w:themeColor="accent1" w:themeTint="BF"/>
              <w:right w:val="single" w:sz="8" w:space="0" w:color="7BA0CD" w:themeColor="accent1" w:themeTint="BF"/>
            </w:tcBorders>
            <w:noWrap/>
            <w:vAlign w:val="center"/>
            <w:hideMark/>
          </w:tcPr>
          <w:p w14:paraId="0F87EAAD" w14:textId="07CCC2B6"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7%</w:t>
            </w:r>
          </w:p>
        </w:tc>
        <w:tc>
          <w:tcPr>
            <w:tcW w:w="571" w:type="pct"/>
            <w:tcBorders>
              <w:left w:val="single" w:sz="8" w:space="0" w:color="7BA0CD" w:themeColor="accent1" w:themeTint="BF"/>
              <w:right w:val="single" w:sz="8" w:space="0" w:color="7BA0CD" w:themeColor="accent1" w:themeTint="BF"/>
            </w:tcBorders>
            <w:vAlign w:val="center"/>
          </w:tcPr>
          <w:p w14:paraId="6C42B248" w14:textId="71F4E06F"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42,555</w:t>
            </w:r>
          </w:p>
        </w:tc>
        <w:tc>
          <w:tcPr>
            <w:tcW w:w="662" w:type="pct"/>
            <w:tcBorders>
              <w:left w:val="single" w:sz="8" w:space="0" w:color="7BA0CD" w:themeColor="accent1" w:themeTint="BF"/>
            </w:tcBorders>
            <w:vAlign w:val="center"/>
          </w:tcPr>
          <w:p w14:paraId="55BE6047" w14:textId="3B951DCF" w:rsidR="00551EF0" w:rsidRPr="00BD1911" w:rsidRDefault="00551EF0" w:rsidP="00551EF0">
            <w:pPr>
              <w:pStyle w:val="Tablenormalright"/>
              <w:cnfStyle w:val="000000100000" w:firstRow="0" w:lastRow="0" w:firstColumn="0" w:lastColumn="0" w:oddVBand="0" w:evenVBand="0" w:oddHBand="1" w:evenHBand="0" w:firstRowFirstColumn="0" w:firstRowLastColumn="0" w:lastRowFirstColumn="0" w:lastRowLastColumn="0"/>
            </w:pPr>
            <w:r w:rsidRPr="00423E23">
              <w:t>8%</w:t>
            </w:r>
          </w:p>
        </w:tc>
      </w:tr>
      <w:tr w:rsidR="00551EF0" w:rsidRPr="005A22E3" w14:paraId="7E827E17" w14:textId="77777777" w:rsidTr="00551EF0">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29" w:type="pct"/>
            <w:tcBorders>
              <w:right w:val="single" w:sz="8" w:space="0" w:color="7BA0CD" w:themeColor="accent1" w:themeTint="BF"/>
            </w:tcBorders>
            <w:noWrap/>
            <w:vAlign w:val="center"/>
            <w:hideMark/>
          </w:tcPr>
          <w:p w14:paraId="6F35DA47" w14:textId="2EF97B69" w:rsidR="00551EF0" w:rsidRPr="00A07E93" w:rsidRDefault="00551EF0" w:rsidP="00431260">
            <w:pPr>
              <w:pStyle w:val="Tablenormalleft"/>
              <w:jc w:val="left"/>
            </w:pPr>
            <w:r w:rsidRPr="00A07E93">
              <w:t xml:space="preserve">Bachelor's </w:t>
            </w:r>
            <w:r>
              <w:t>d</w:t>
            </w:r>
            <w:r w:rsidRPr="00A07E93">
              <w:t>egree</w:t>
            </w:r>
          </w:p>
        </w:tc>
        <w:tc>
          <w:tcPr>
            <w:tcW w:w="570" w:type="pct"/>
            <w:tcBorders>
              <w:left w:val="single" w:sz="8" w:space="0" w:color="7BA0CD" w:themeColor="accent1" w:themeTint="BF"/>
              <w:right w:val="single" w:sz="8" w:space="0" w:color="7BA0CD" w:themeColor="accent1" w:themeTint="BF"/>
            </w:tcBorders>
            <w:noWrap/>
            <w:vAlign w:val="center"/>
            <w:hideMark/>
          </w:tcPr>
          <w:p w14:paraId="0003D4F3" w14:textId="0041660A"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53,698</w:t>
            </w:r>
          </w:p>
        </w:tc>
        <w:tc>
          <w:tcPr>
            <w:tcW w:w="668" w:type="pct"/>
            <w:tcBorders>
              <w:left w:val="single" w:sz="8" w:space="0" w:color="7BA0CD" w:themeColor="accent1" w:themeTint="BF"/>
              <w:right w:val="single" w:sz="8" w:space="0" w:color="7BA0CD" w:themeColor="accent1" w:themeTint="BF"/>
            </w:tcBorders>
            <w:noWrap/>
            <w:vAlign w:val="center"/>
            <w:hideMark/>
          </w:tcPr>
          <w:p w14:paraId="2E0D2B32" w14:textId="2058C203"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10%</w:t>
            </w:r>
          </w:p>
        </w:tc>
        <w:tc>
          <w:tcPr>
            <w:tcW w:w="571" w:type="pct"/>
            <w:tcBorders>
              <w:left w:val="single" w:sz="8" w:space="0" w:color="7BA0CD" w:themeColor="accent1" w:themeTint="BF"/>
              <w:right w:val="single" w:sz="8" w:space="0" w:color="7BA0CD" w:themeColor="accent1" w:themeTint="BF"/>
            </w:tcBorders>
            <w:vAlign w:val="center"/>
          </w:tcPr>
          <w:p w14:paraId="4A3EEA7E" w14:textId="0F5D767F" w:rsidR="00551EF0" w:rsidRPr="00BD2A07" w:rsidRDefault="00551EF0" w:rsidP="00551EF0">
            <w:pPr>
              <w:pStyle w:val="Tablenormalright"/>
              <w:cnfStyle w:val="000000010000" w:firstRow="0" w:lastRow="0" w:firstColumn="0" w:lastColumn="0" w:oddVBand="0" w:evenVBand="0" w:oddHBand="0" w:evenHBand="1" w:firstRowFirstColumn="0" w:firstRowLastColumn="0" w:lastRowFirstColumn="0" w:lastRowLastColumn="0"/>
              <w:rPr>
                <w:color w:val="000000"/>
              </w:rPr>
            </w:pPr>
            <w:r w:rsidRPr="00423E23">
              <w:t>63,106</w:t>
            </w:r>
          </w:p>
        </w:tc>
        <w:tc>
          <w:tcPr>
            <w:tcW w:w="662" w:type="pct"/>
            <w:tcBorders>
              <w:left w:val="single" w:sz="8" w:space="0" w:color="7BA0CD" w:themeColor="accent1" w:themeTint="BF"/>
            </w:tcBorders>
            <w:vAlign w:val="center"/>
          </w:tcPr>
          <w:p w14:paraId="6AB6B674" w14:textId="44F898B3" w:rsidR="00551EF0" w:rsidRPr="00BD1911" w:rsidRDefault="00551EF0" w:rsidP="00551EF0">
            <w:pPr>
              <w:pStyle w:val="Tablenormalright"/>
              <w:cnfStyle w:val="000000010000" w:firstRow="0" w:lastRow="0" w:firstColumn="0" w:lastColumn="0" w:oddVBand="0" w:evenVBand="0" w:oddHBand="0" w:evenHBand="1" w:firstRowFirstColumn="0" w:firstRowLastColumn="0" w:lastRowFirstColumn="0" w:lastRowLastColumn="0"/>
            </w:pPr>
            <w:r w:rsidRPr="00423E23">
              <w:t>12%</w:t>
            </w:r>
          </w:p>
        </w:tc>
      </w:tr>
      <w:tr w:rsidR="00551EF0" w:rsidRPr="005A22E3" w14:paraId="736EDC68" w14:textId="77777777" w:rsidTr="00551EF0">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29" w:type="pct"/>
            <w:tcBorders>
              <w:bottom w:val="single" w:sz="8" w:space="0" w:color="7BA0CD" w:themeColor="accent1" w:themeTint="BF"/>
              <w:right w:val="single" w:sz="8" w:space="0" w:color="7BA0CD" w:themeColor="accent1" w:themeTint="BF"/>
            </w:tcBorders>
            <w:noWrap/>
            <w:vAlign w:val="center"/>
            <w:hideMark/>
          </w:tcPr>
          <w:p w14:paraId="6F2C4585" w14:textId="78DBBA29" w:rsidR="00551EF0" w:rsidRPr="00A07E93" w:rsidRDefault="00551EF0" w:rsidP="00431260">
            <w:pPr>
              <w:pStyle w:val="Tablenormalleft"/>
              <w:jc w:val="left"/>
            </w:pPr>
            <w:r w:rsidRPr="00A07E93">
              <w:t xml:space="preserve">Graduate </w:t>
            </w:r>
            <w:r>
              <w:t>degree and h</w:t>
            </w:r>
            <w:r w:rsidRPr="00A07E93">
              <w:t>igher</w:t>
            </w:r>
          </w:p>
        </w:tc>
        <w:tc>
          <w:tcPr>
            <w:tcW w:w="570" w:type="pct"/>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1073E140" w14:textId="7436426E"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27,557</w:t>
            </w:r>
          </w:p>
        </w:tc>
        <w:tc>
          <w:tcPr>
            <w:tcW w:w="668" w:type="pct"/>
            <w:tcBorders>
              <w:left w:val="single" w:sz="8" w:space="0" w:color="7BA0CD" w:themeColor="accent1" w:themeTint="BF"/>
              <w:bottom w:val="single" w:sz="8" w:space="0" w:color="7BA0CD" w:themeColor="accent1" w:themeTint="BF"/>
              <w:right w:val="single" w:sz="8" w:space="0" w:color="7BA0CD" w:themeColor="accent1" w:themeTint="BF"/>
            </w:tcBorders>
            <w:noWrap/>
            <w:vAlign w:val="center"/>
            <w:hideMark/>
          </w:tcPr>
          <w:p w14:paraId="48951750" w14:textId="5D46404E"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5%</w:t>
            </w:r>
          </w:p>
        </w:tc>
        <w:tc>
          <w:tcPr>
            <w:tcW w:w="571" w:type="pct"/>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AAC2158" w14:textId="7112CFD1" w:rsidR="00551EF0" w:rsidRPr="00BD2A07" w:rsidRDefault="00551EF0" w:rsidP="00551EF0">
            <w:pPr>
              <w:pStyle w:val="Tablenormalright"/>
              <w:cnfStyle w:val="000000100000" w:firstRow="0" w:lastRow="0" w:firstColumn="0" w:lastColumn="0" w:oddVBand="0" w:evenVBand="0" w:oddHBand="1" w:evenHBand="0" w:firstRowFirstColumn="0" w:firstRowLastColumn="0" w:lastRowFirstColumn="0" w:lastRowLastColumn="0"/>
              <w:rPr>
                <w:color w:val="000000"/>
              </w:rPr>
            </w:pPr>
            <w:r w:rsidRPr="00423E23">
              <w:t>26,024</w:t>
            </w:r>
          </w:p>
        </w:tc>
        <w:tc>
          <w:tcPr>
            <w:tcW w:w="662" w:type="pct"/>
            <w:tcBorders>
              <w:left w:val="single" w:sz="8" w:space="0" w:color="7BA0CD" w:themeColor="accent1" w:themeTint="BF"/>
              <w:bottom w:val="single" w:sz="8" w:space="0" w:color="7BA0CD" w:themeColor="accent1" w:themeTint="BF"/>
            </w:tcBorders>
            <w:vAlign w:val="center"/>
          </w:tcPr>
          <w:p w14:paraId="5887F92B" w14:textId="2AE089E0" w:rsidR="00551EF0" w:rsidRPr="00BD1911" w:rsidRDefault="00551EF0" w:rsidP="00551EF0">
            <w:pPr>
              <w:pStyle w:val="Tablenormalright"/>
              <w:cnfStyle w:val="000000100000" w:firstRow="0" w:lastRow="0" w:firstColumn="0" w:lastColumn="0" w:oddVBand="0" w:evenVBand="0" w:oddHBand="1" w:evenHBand="0" w:firstRowFirstColumn="0" w:firstRowLastColumn="0" w:lastRowFirstColumn="0" w:lastRowLastColumn="0"/>
            </w:pPr>
            <w:r w:rsidRPr="00423E23">
              <w:t>5%</w:t>
            </w:r>
          </w:p>
        </w:tc>
      </w:tr>
      <w:tr w:rsidR="007751D8" w:rsidRPr="005A22E3" w14:paraId="4E8310D0" w14:textId="77777777" w:rsidTr="00EB070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nil"/>
              <w:bottom w:val="nil"/>
              <w:right w:val="nil"/>
            </w:tcBorders>
            <w:shd w:val="clear" w:color="auto" w:fill="auto"/>
            <w:noWrap/>
          </w:tcPr>
          <w:p w14:paraId="7F0A704C" w14:textId="7CE31EA5" w:rsidR="007751D8" w:rsidRPr="00A07E93" w:rsidRDefault="006C38C7" w:rsidP="00EB070D">
            <w:pPr>
              <w:pStyle w:val="Tablefooterlastline"/>
              <w:rPr>
                <w:rFonts w:ascii="Calibri" w:hAnsi="Calibri"/>
                <w:szCs w:val="18"/>
              </w:rPr>
            </w:pPr>
            <w:r w:rsidRPr="00A07E93">
              <w:t>Sou</w:t>
            </w:r>
            <w:r>
              <w:t>rce</w:t>
            </w:r>
            <w:r w:rsidR="007751D8" w:rsidRPr="00A07E93">
              <w:t xml:space="preserve">: EMSI Complete Data </w:t>
            </w:r>
            <w:r w:rsidR="004F7D7D">
              <w:t>2014.3</w:t>
            </w:r>
          </w:p>
        </w:tc>
      </w:tr>
    </w:tbl>
    <w:p w14:paraId="3375E19C" w14:textId="491B66A0" w:rsidR="00F56D92" w:rsidRDefault="00AD5379" w:rsidP="006925A1">
      <w:pPr>
        <w:pStyle w:val="FigureTitle"/>
        <w:keepNext/>
      </w:pPr>
      <w:r w:rsidRPr="00562108">
        <w:lastRenderedPageBreak/>
        <w:t>Figure</w:t>
      </w:r>
      <w:r>
        <w:t xml:space="preserve"> </w:t>
      </w:r>
      <w:r w:rsidR="00E067A0">
        <w:t>1.</w:t>
      </w:r>
      <w:r w:rsidR="009C0059">
        <w:t>10</w:t>
      </w:r>
      <w:r>
        <w:t xml:space="preserve">: Educational Attainment </w:t>
      </w:r>
      <w:r w:rsidR="00ED39FF">
        <w:t xml:space="preserve">of Adult Population in </w:t>
      </w:r>
      <w:r w:rsidR="006628FA">
        <w:t xml:space="preserve">the </w:t>
      </w:r>
      <w:r w:rsidR="006C38C7">
        <w:t>CCC</w:t>
      </w:r>
      <w:r w:rsidR="006628FA">
        <w:t xml:space="preserve"> </w:t>
      </w:r>
      <w:r w:rsidR="00B101E7">
        <w:t>Economic Region</w:t>
      </w:r>
      <w:r w:rsidR="00ED39FF">
        <w:t xml:space="preserve"> </w:t>
      </w:r>
      <w:r>
        <w:t>b</w:t>
      </w:r>
      <w:r w:rsidRPr="00562108">
        <w:t xml:space="preserve">y Gender </w:t>
      </w:r>
    </w:p>
    <w:p w14:paraId="4C5CE873" w14:textId="32D8F30D" w:rsidR="009C7B20" w:rsidRDefault="00551EF0" w:rsidP="00377B00">
      <w:pPr>
        <w:rPr>
          <w:noProof/>
        </w:rPr>
      </w:pPr>
      <w:r>
        <w:rPr>
          <w:noProof/>
        </w:rPr>
        <w:drawing>
          <wp:inline distT="0" distB="0" distL="0" distR="0" wp14:anchorId="47F1113D" wp14:editId="0D0365C0">
            <wp:extent cx="5943600" cy="305498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D17189" w14:textId="32B4DAEE" w:rsidR="000A4A6F" w:rsidRDefault="00475E2D" w:rsidP="001A6A8F">
      <w:pPr>
        <w:pStyle w:val="Heading3"/>
        <w:rPr>
          <w:rFonts w:eastAsiaTheme="majorEastAsia"/>
        </w:rPr>
      </w:pPr>
      <w:bookmarkStart w:id="16" w:name="_Toc428785413"/>
      <w:r>
        <w:rPr>
          <w:rFonts w:eastAsiaTheme="majorEastAsia"/>
        </w:rPr>
        <w:t xml:space="preserve">Educational Attainment by </w:t>
      </w:r>
      <w:r w:rsidR="00DA714B">
        <w:rPr>
          <w:rFonts w:eastAsiaTheme="majorEastAsia"/>
        </w:rPr>
        <w:t>Ethnicity</w:t>
      </w:r>
      <w:bookmarkEnd w:id="16"/>
    </w:p>
    <w:p w14:paraId="0FFD7595" w14:textId="2F092C54" w:rsidR="00E54676" w:rsidRDefault="00E54676" w:rsidP="004A4F48">
      <w:r>
        <w:t xml:space="preserve">Figure </w:t>
      </w:r>
      <w:r w:rsidR="00E067A0">
        <w:t>1.</w:t>
      </w:r>
      <w:r>
        <w:t>1</w:t>
      </w:r>
      <w:r w:rsidR="009C0059">
        <w:t>1</w:t>
      </w:r>
      <w:r w:rsidR="00614CA5">
        <w:t xml:space="preserve"> and Table </w:t>
      </w:r>
      <w:r w:rsidR="00E067A0">
        <w:t>1.</w:t>
      </w:r>
      <w:r w:rsidR="00614CA5">
        <w:t>10</w:t>
      </w:r>
      <w:r w:rsidR="00ED39FF">
        <w:t xml:space="preserve"> display the </w:t>
      </w:r>
      <w:r w:rsidRPr="00FF1B2F">
        <w:t xml:space="preserve">educational attainment </w:t>
      </w:r>
      <w:r w:rsidR="00ED39FF">
        <w:t xml:space="preserve">of the adult population </w:t>
      </w:r>
      <w:r w:rsidRPr="00FF1B2F">
        <w:t xml:space="preserve">by ethnicity. </w:t>
      </w:r>
      <w:r w:rsidR="006B2208">
        <w:t>T</w:t>
      </w:r>
      <w:r w:rsidR="00643056">
        <w:t>he</w:t>
      </w:r>
      <w:r w:rsidR="00ED39FF">
        <w:t xml:space="preserve"> </w:t>
      </w:r>
      <w:r w:rsidR="00987CB4">
        <w:t>“</w:t>
      </w:r>
      <w:r w:rsidR="00795583">
        <w:t>Asian</w:t>
      </w:r>
      <w:r w:rsidR="00D33121">
        <w:t>, Non-Hispanics</w:t>
      </w:r>
      <w:r w:rsidR="00987CB4">
        <w:t>”</w:t>
      </w:r>
      <w:r w:rsidR="00ED39FF">
        <w:t xml:space="preserve"> ethnicity category has </w:t>
      </w:r>
      <w:r w:rsidRPr="00FF1B2F">
        <w:t xml:space="preserve">the </w:t>
      </w:r>
      <w:r w:rsidR="00ED39FF">
        <w:t xml:space="preserve">highest </w:t>
      </w:r>
      <w:r w:rsidR="006C38C7" w:rsidRPr="00FF1B2F">
        <w:t>pe</w:t>
      </w:r>
      <w:r w:rsidR="006C38C7">
        <w:t>rce</w:t>
      </w:r>
      <w:r w:rsidR="006C38C7" w:rsidRPr="00FF1B2F">
        <w:t>ntage</w:t>
      </w:r>
      <w:r w:rsidRPr="00FF1B2F">
        <w:t xml:space="preserve"> of </w:t>
      </w:r>
      <w:r w:rsidR="00ED39FF">
        <w:t xml:space="preserve">adults with </w:t>
      </w:r>
      <w:r>
        <w:t>post</w:t>
      </w:r>
      <w:r w:rsidR="00ED39FF">
        <w:t>-</w:t>
      </w:r>
      <w:r>
        <w:t>secondary degrees</w:t>
      </w:r>
      <w:r w:rsidR="00535A06">
        <w:t xml:space="preserve"> (</w:t>
      </w:r>
      <w:r w:rsidR="00551EF0">
        <w:t>43</w:t>
      </w:r>
      <w:r>
        <w:t>%</w:t>
      </w:r>
      <w:r w:rsidR="00535A06">
        <w:t>)</w:t>
      </w:r>
      <w:r w:rsidR="00D92128">
        <w:t xml:space="preserve">. </w:t>
      </w:r>
      <w:r w:rsidR="00987CB4">
        <w:t>“</w:t>
      </w:r>
      <w:r w:rsidR="00551EF0" w:rsidRPr="00551EF0">
        <w:t>Native Hawaiian or Pacific Islander</w:t>
      </w:r>
      <w:r w:rsidR="00D33121">
        <w:t>, Non-Hispanic</w:t>
      </w:r>
      <w:r w:rsidR="00987CB4">
        <w:t>”</w:t>
      </w:r>
      <w:r>
        <w:t xml:space="preserve"> </w:t>
      </w:r>
      <w:r w:rsidR="00ED39FF">
        <w:t>category</w:t>
      </w:r>
      <w:r w:rsidR="00535A06">
        <w:t xml:space="preserve"> </w:t>
      </w:r>
      <w:r w:rsidR="006B2208">
        <w:t xml:space="preserve">follows with </w:t>
      </w:r>
      <w:r w:rsidR="00A1094B">
        <w:t>4</w:t>
      </w:r>
      <w:r w:rsidR="00551EF0">
        <w:t>2</w:t>
      </w:r>
      <w:r w:rsidR="00643056">
        <w:t>%</w:t>
      </w:r>
      <w:r w:rsidR="00175F6B">
        <w:t>.</w:t>
      </w:r>
      <w:r w:rsidR="00C72811">
        <w:t xml:space="preserve"> </w:t>
      </w:r>
      <w:r w:rsidR="007A3E84">
        <w:t>T</w:t>
      </w:r>
      <w:r w:rsidR="00ED39FF">
        <w:t>he</w:t>
      </w:r>
      <w:r w:rsidR="00A23FC9">
        <w:t xml:space="preserve"> </w:t>
      </w:r>
      <w:r w:rsidR="00987CB4">
        <w:t>“</w:t>
      </w:r>
      <w:r w:rsidR="00D31A06">
        <w:t>Hispanic</w:t>
      </w:r>
      <w:r w:rsidR="000846AC">
        <w:t>, All Types</w:t>
      </w:r>
      <w:r w:rsidR="00987CB4">
        <w:t>”</w:t>
      </w:r>
      <w:r>
        <w:t xml:space="preserve"> </w:t>
      </w:r>
      <w:r w:rsidR="00C72811">
        <w:t>category</w:t>
      </w:r>
      <w:r w:rsidR="00ED39FF">
        <w:t xml:space="preserve"> </w:t>
      </w:r>
      <w:r w:rsidR="007A3E84">
        <w:t>has</w:t>
      </w:r>
      <w:r>
        <w:t xml:space="preserve"> the lowest levels of education attainment</w:t>
      </w:r>
      <w:r w:rsidR="007A1506">
        <w:t xml:space="preserve">. For </w:t>
      </w:r>
      <w:r w:rsidR="00175F6B">
        <w:t>this group,</w:t>
      </w:r>
      <w:r w:rsidR="007A1506">
        <w:t xml:space="preserve"> only </w:t>
      </w:r>
      <w:r w:rsidR="00A1094B">
        <w:t>1</w:t>
      </w:r>
      <w:r w:rsidR="00551EF0">
        <w:t>2</w:t>
      </w:r>
      <w:r>
        <w:t xml:space="preserve">% </w:t>
      </w:r>
      <w:r w:rsidR="007A1506">
        <w:t>of the adult population has a post-secondary degree</w:t>
      </w:r>
      <w:r w:rsidR="007A3E84">
        <w:t xml:space="preserve"> and </w:t>
      </w:r>
      <w:r w:rsidR="00551EF0">
        <w:t>71</w:t>
      </w:r>
      <w:r w:rsidR="007A3E84">
        <w:t>% has a high school diploma or less</w:t>
      </w:r>
      <w:r w:rsidR="00A23FC9">
        <w:t>.</w:t>
      </w:r>
      <w:r>
        <w:t xml:space="preserve"> </w:t>
      </w:r>
      <w:r w:rsidR="007A3E84">
        <w:t>While the region is largely “Hispanic</w:t>
      </w:r>
      <w:r w:rsidR="00551EF0">
        <w:t>, All Types</w:t>
      </w:r>
      <w:r w:rsidR="007A3E84">
        <w:t>”</w:t>
      </w:r>
      <w:r w:rsidR="007A2E57">
        <w:t>,</w:t>
      </w:r>
      <w:r w:rsidR="007A3E84">
        <w:t xml:space="preserve"> there are </w:t>
      </w:r>
      <w:r w:rsidR="006766AC">
        <w:t xml:space="preserve">many </w:t>
      </w:r>
      <w:r w:rsidR="007A3E84">
        <w:t xml:space="preserve">opportunities to increase educational attainment in other </w:t>
      </w:r>
      <w:r w:rsidR="006766AC">
        <w:t>ethnic group</w:t>
      </w:r>
      <w:r w:rsidR="00B042E3">
        <w:t>s</w:t>
      </w:r>
      <w:r w:rsidR="002C0D22">
        <w:t>.</w:t>
      </w:r>
    </w:p>
    <w:p w14:paraId="0C066A0E" w14:textId="22063901" w:rsidR="00D36B86" w:rsidRDefault="00AD5379" w:rsidP="00190207">
      <w:pPr>
        <w:pStyle w:val="FigureTitle"/>
        <w:keepNext/>
        <w:rPr>
          <w:noProof/>
        </w:rPr>
      </w:pPr>
      <w:r w:rsidRPr="00562108">
        <w:t>Figure</w:t>
      </w:r>
      <w:r>
        <w:t xml:space="preserve"> </w:t>
      </w:r>
      <w:r w:rsidR="00E067A0">
        <w:t>1.</w:t>
      </w:r>
      <w:r>
        <w:t>1</w:t>
      </w:r>
      <w:r w:rsidR="009C0059">
        <w:t>1</w:t>
      </w:r>
      <w:r>
        <w:t xml:space="preserve">: Educational Attainment </w:t>
      </w:r>
      <w:r w:rsidR="00ED39FF">
        <w:t xml:space="preserve">of Adult Population in </w:t>
      </w:r>
      <w:r w:rsidR="006628FA">
        <w:t xml:space="preserve">the </w:t>
      </w:r>
      <w:r w:rsidR="006C38C7">
        <w:t>CCC</w:t>
      </w:r>
      <w:r w:rsidR="006628FA">
        <w:t xml:space="preserve"> </w:t>
      </w:r>
      <w:r w:rsidR="00B101E7">
        <w:t>Economic Region</w:t>
      </w:r>
      <w:r w:rsidR="00ED39FF">
        <w:t xml:space="preserve"> by Ethnicity</w:t>
      </w:r>
      <w:r w:rsidR="00840C05" w:rsidRPr="00840C05">
        <w:rPr>
          <w:noProof/>
        </w:rPr>
        <w:t xml:space="preserve"> </w:t>
      </w:r>
    </w:p>
    <w:tbl>
      <w:tblPr>
        <w:tblStyle w:val="MediumShading1-Accent1"/>
        <w:tblpPr w:leftFromText="187" w:rightFromText="187" w:vertAnchor="text" w:horzAnchor="margin" w:tblpX="1" w:tblpY="5991"/>
        <w:tblW w:w="5000" w:type="pct"/>
        <w:tblLayout w:type="fixed"/>
        <w:tblLook w:val="04A0" w:firstRow="1" w:lastRow="0" w:firstColumn="1" w:lastColumn="0" w:noHBand="0" w:noVBand="1"/>
      </w:tblPr>
      <w:tblGrid>
        <w:gridCol w:w="2081"/>
        <w:gridCol w:w="885"/>
        <w:gridCol w:w="984"/>
        <w:gridCol w:w="1071"/>
        <w:gridCol w:w="982"/>
        <w:gridCol w:w="1253"/>
        <w:gridCol w:w="1159"/>
        <w:gridCol w:w="1161"/>
      </w:tblGrid>
      <w:tr w:rsidR="00A4070B" w:rsidRPr="00AC1614" w14:paraId="4B0D027F" w14:textId="77777777" w:rsidTr="00A407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il"/>
              <w:left w:val="nil"/>
              <w:right w:val="nil"/>
            </w:tcBorders>
            <w:shd w:val="clear" w:color="auto" w:fill="auto"/>
            <w:noWrap/>
          </w:tcPr>
          <w:p w14:paraId="141A2BBF" w14:textId="2DE015F3" w:rsidR="00A4070B" w:rsidRPr="00580A0C" w:rsidRDefault="00A4070B" w:rsidP="00A4070B">
            <w:pPr>
              <w:pStyle w:val="Tabletitle"/>
              <w:rPr>
                <w:b/>
              </w:rPr>
            </w:pPr>
            <w:r w:rsidRPr="00580A0C">
              <w:rPr>
                <w:b/>
              </w:rPr>
              <w:t xml:space="preserve">Table </w:t>
            </w:r>
            <w:r>
              <w:rPr>
                <w:b/>
              </w:rPr>
              <w:t>1.</w:t>
            </w:r>
            <w:r w:rsidRPr="00580A0C">
              <w:rPr>
                <w:b/>
              </w:rPr>
              <w:t xml:space="preserve">10: </w:t>
            </w:r>
            <w:r>
              <w:rPr>
                <w:b/>
              </w:rPr>
              <w:t xml:space="preserve">Breakdown of Adult Population in the </w:t>
            </w:r>
            <w:r w:rsidR="006C38C7">
              <w:rPr>
                <w:b/>
              </w:rPr>
              <w:t>CCC</w:t>
            </w:r>
            <w:r>
              <w:rPr>
                <w:b/>
              </w:rPr>
              <w:t xml:space="preserve"> </w:t>
            </w:r>
            <w:r w:rsidR="00B101E7">
              <w:rPr>
                <w:b/>
              </w:rPr>
              <w:t>Economic Region</w:t>
            </w:r>
            <w:r>
              <w:rPr>
                <w:b/>
              </w:rPr>
              <w:t xml:space="preserve"> by Educational Attainment and Ethnicity</w:t>
            </w:r>
          </w:p>
        </w:tc>
      </w:tr>
      <w:tr w:rsidR="00364186" w:rsidRPr="00AC1614" w14:paraId="2186CE80" w14:textId="77777777" w:rsidTr="00A407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tcBorders>
              <w:right w:val="single" w:sz="8" w:space="0" w:color="7BA0CD" w:themeColor="accent1" w:themeTint="BF"/>
            </w:tcBorders>
            <w:shd w:val="clear" w:color="auto" w:fill="4F81BD" w:themeFill="accent1"/>
            <w:noWrap/>
            <w:vAlign w:val="center"/>
            <w:hideMark/>
          </w:tcPr>
          <w:p w14:paraId="4D25A03F" w14:textId="77777777" w:rsidR="00A4070B" w:rsidRPr="00AC1614" w:rsidRDefault="00A4070B" w:rsidP="00A4070B">
            <w:pPr>
              <w:spacing w:before="0" w:after="0" w:line="240" w:lineRule="auto"/>
              <w:jc w:val="center"/>
              <w:rPr>
                <w:rFonts w:asciiTheme="minorHAnsi" w:hAnsiTheme="minorHAnsi"/>
                <w:sz w:val="18"/>
                <w:szCs w:val="18"/>
              </w:rPr>
            </w:pPr>
          </w:p>
        </w:tc>
        <w:tc>
          <w:tcPr>
            <w:tcW w:w="462"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vAlign w:val="center"/>
            <w:hideMark/>
          </w:tcPr>
          <w:p w14:paraId="3781701F" w14:textId="77777777" w:rsidR="00A4070B" w:rsidRPr="00AC1614" w:rsidRDefault="00A4070B" w:rsidP="00A4070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514"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vAlign w:val="center"/>
            <w:hideMark/>
          </w:tcPr>
          <w:p w14:paraId="7BB729ED" w14:textId="77777777" w:rsidR="00A4070B" w:rsidRPr="00AC1614" w:rsidRDefault="00A4070B" w:rsidP="00A4070B">
            <w:pPr>
              <w:pStyle w:val="Tableheadercenter"/>
              <w:cnfStyle w:val="000000100000" w:firstRow="0" w:lastRow="0" w:firstColumn="0" w:lastColumn="0" w:oddVBand="0" w:evenVBand="0" w:oddHBand="1" w:evenHBand="0" w:firstRowFirstColumn="0" w:firstRowLastColumn="0" w:lastRowFirstColumn="0" w:lastRowLastColumn="0"/>
            </w:pPr>
            <w:r w:rsidRPr="00AC1614">
              <w:t>&lt; HS Diploma</w:t>
            </w:r>
          </w:p>
        </w:tc>
        <w:tc>
          <w:tcPr>
            <w:tcW w:w="559"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vAlign w:val="center"/>
            <w:hideMark/>
          </w:tcPr>
          <w:p w14:paraId="3CD0730B" w14:textId="77777777" w:rsidR="00A4070B" w:rsidRPr="00AC1614" w:rsidRDefault="00A4070B" w:rsidP="00A4070B">
            <w:pPr>
              <w:pStyle w:val="Tableheadercenter"/>
              <w:cnfStyle w:val="000000100000" w:firstRow="0" w:lastRow="0" w:firstColumn="0" w:lastColumn="0" w:oddVBand="0" w:evenVBand="0" w:oddHBand="1" w:evenHBand="0" w:firstRowFirstColumn="0" w:firstRowLastColumn="0" w:lastRowFirstColumn="0" w:lastRowLastColumn="0"/>
            </w:pPr>
            <w:r w:rsidRPr="00AC1614">
              <w:t>H</w:t>
            </w:r>
            <w:r>
              <w:t>S</w:t>
            </w:r>
            <w:r w:rsidRPr="00AC1614">
              <w:t xml:space="preserve"> Diploma</w:t>
            </w:r>
          </w:p>
        </w:tc>
        <w:tc>
          <w:tcPr>
            <w:tcW w:w="51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vAlign w:val="center"/>
            <w:hideMark/>
          </w:tcPr>
          <w:p w14:paraId="23DA2FE9" w14:textId="77777777" w:rsidR="00A4070B" w:rsidRPr="00AC1614" w:rsidRDefault="00A4070B" w:rsidP="00A4070B">
            <w:pPr>
              <w:pStyle w:val="Tableheadercenter"/>
              <w:cnfStyle w:val="000000100000" w:firstRow="0" w:lastRow="0" w:firstColumn="0" w:lastColumn="0" w:oddVBand="0" w:evenVBand="0" w:oddHBand="1" w:evenHBand="0" w:firstRowFirstColumn="0" w:firstRowLastColumn="0" w:lastRowFirstColumn="0" w:lastRowLastColumn="0"/>
            </w:pPr>
            <w:r w:rsidRPr="00AC1614">
              <w:t>Some College</w:t>
            </w:r>
          </w:p>
        </w:tc>
        <w:tc>
          <w:tcPr>
            <w:tcW w:w="654"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vAlign w:val="center"/>
            <w:hideMark/>
          </w:tcPr>
          <w:p w14:paraId="046CB8FE" w14:textId="77777777" w:rsidR="00A4070B" w:rsidRPr="00AC1614" w:rsidRDefault="00A4070B" w:rsidP="00A4070B">
            <w:pPr>
              <w:pStyle w:val="Tableheadercenter"/>
              <w:cnfStyle w:val="000000100000" w:firstRow="0" w:lastRow="0" w:firstColumn="0" w:lastColumn="0" w:oddVBand="0" w:evenVBand="0" w:oddHBand="1" w:evenHBand="0" w:firstRowFirstColumn="0" w:firstRowLastColumn="0" w:lastRowFirstColumn="0" w:lastRowLastColumn="0"/>
            </w:pPr>
            <w:r w:rsidRPr="00AC1614">
              <w:t>Asso</w:t>
            </w:r>
            <w:r>
              <w:t>c</w:t>
            </w:r>
            <w:r w:rsidRPr="00AC1614">
              <w:t>iate’s Degree</w:t>
            </w:r>
          </w:p>
        </w:tc>
        <w:tc>
          <w:tcPr>
            <w:tcW w:w="605"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vAlign w:val="center"/>
            <w:hideMark/>
          </w:tcPr>
          <w:p w14:paraId="5A01965A" w14:textId="77777777" w:rsidR="00A4070B" w:rsidRPr="00AC1614" w:rsidRDefault="00A4070B" w:rsidP="00A4070B">
            <w:pPr>
              <w:pStyle w:val="Tableheadercenter"/>
              <w:cnfStyle w:val="000000100000" w:firstRow="0" w:lastRow="0" w:firstColumn="0" w:lastColumn="0" w:oddVBand="0" w:evenVBand="0" w:oddHBand="1" w:evenHBand="0" w:firstRowFirstColumn="0" w:firstRowLastColumn="0" w:lastRowFirstColumn="0" w:lastRowLastColumn="0"/>
            </w:pPr>
            <w:r>
              <w:t>Bachelor’s</w:t>
            </w:r>
            <w:r w:rsidRPr="00AC1614">
              <w:t xml:space="preserve"> Degree</w:t>
            </w:r>
          </w:p>
        </w:tc>
        <w:tc>
          <w:tcPr>
            <w:tcW w:w="606" w:type="pct"/>
            <w:tcBorders>
              <w:left w:val="single" w:sz="8" w:space="0" w:color="7BA0CD" w:themeColor="accent1" w:themeTint="BF"/>
              <w:bottom w:val="single" w:sz="8" w:space="0" w:color="7BA0CD" w:themeColor="accent1" w:themeTint="BF"/>
            </w:tcBorders>
            <w:shd w:val="clear" w:color="auto" w:fill="4F81BD" w:themeFill="accent1"/>
            <w:noWrap/>
            <w:vAlign w:val="center"/>
            <w:hideMark/>
          </w:tcPr>
          <w:p w14:paraId="09F1EFBD" w14:textId="77777777" w:rsidR="00A4070B" w:rsidRPr="00AC1614" w:rsidRDefault="00A4070B" w:rsidP="00A4070B">
            <w:pPr>
              <w:pStyle w:val="Tableheadercenter"/>
              <w:cnfStyle w:val="000000100000" w:firstRow="0" w:lastRow="0" w:firstColumn="0" w:lastColumn="0" w:oddVBand="0" w:evenVBand="0" w:oddHBand="1" w:evenHBand="0" w:firstRowFirstColumn="0" w:firstRowLastColumn="0" w:lastRowFirstColumn="0" w:lastRowLastColumn="0"/>
            </w:pPr>
            <w:r w:rsidRPr="00AC1614">
              <w:t>Graduate Degree and Higher</w:t>
            </w:r>
          </w:p>
        </w:tc>
      </w:tr>
      <w:tr w:rsidR="00551EF0" w:rsidRPr="00AC1614" w14:paraId="33B8B742" w14:textId="77777777" w:rsidTr="00823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val="restart"/>
            <w:tcBorders>
              <w:right w:val="single" w:sz="8" w:space="0" w:color="7BA0CD" w:themeColor="accent1" w:themeTint="BF"/>
            </w:tcBorders>
            <w:noWrap/>
            <w:vAlign w:val="center"/>
            <w:hideMark/>
          </w:tcPr>
          <w:p w14:paraId="4BACB7C0" w14:textId="77777777" w:rsidR="00551EF0" w:rsidRPr="00A07E93" w:rsidRDefault="00551EF0" w:rsidP="00A4070B">
            <w:pPr>
              <w:pStyle w:val="Tablesub-heading"/>
            </w:pPr>
            <w:r w:rsidRPr="00A07E93">
              <w:t>White, Non-Hispanic</w:t>
            </w:r>
          </w:p>
        </w:tc>
        <w:tc>
          <w:tcPr>
            <w:tcW w:w="462" w:type="pct"/>
            <w:tcBorders>
              <w:left w:val="single" w:sz="8" w:space="0" w:color="7BA0CD" w:themeColor="accent1" w:themeTint="BF"/>
              <w:bottom w:val="nil"/>
              <w:right w:val="single" w:sz="8" w:space="0" w:color="7BA0CD" w:themeColor="accent1" w:themeTint="BF"/>
            </w:tcBorders>
            <w:shd w:val="clear" w:color="auto" w:fill="auto"/>
            <w:noWrap/>
            <w:vAlign w:val="center"/>
            <w:hideMark/>
          </w:tcPr>
          <w:p w14:paraId="3C1223E1" w14:textId="77777777" w:rsidR="00551EF0" w:rsidRPr="0095581D" w:rsidRDefault="00551EF0" w:rsidP="00A4070B">
            <w:pPr>
              <w:pStyle w:val="Tablenormalleft"/>
              <w:jc w:val="left"/>
              <w:cnfStyle w:val="000000010000" w:firstRow="0" w:lastRow="0" w:firstColumn="0" w:lastColumn="0" w:oddVBand="0" w:evenVBand="0" w:oddHBand="0" w:evenHBand="1" w:firstRowFirstColumn="0" w:firstRowLastColumn="0" w:lastRowFirstColumn="0" w:lastRowLastColumn="0"/>
            </w:pPr>
            <w:r w:rsidRPr="0095581D">
              <w:t>Count</w:t>
            </w:r>
          </w:p>
        </w:tc>
        <w:tc>
          <w:tcPr>
            <w:tcW w:w="514" w:type="pct"/>
            <w:tcBorders>
              <w:left w:val="single" w:sz="8" w:space="0" w:color="7BA0CD" w:themeColor="accent1" w:themeTint="BF"/>
              <w:bottom w:val="nil"/>
              <w:right w:val="single" w:sz="8" w:space="0" w:color="7BA0CD" w:themeColor="accent1" w:themeTint="BF"/>
            </w:tcBorders>
            <w:shd w:val="clear" w:color="auto" w:fill="auto"/>
            <w:noWrap/>
            <w:vAlign w:val="center"/>
            <w:hideMark/>
          </w:tcPr>
          <w:p w14:paraId="1EF7547E" w14:textId="35660985"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44,083</w:t>
            </w:r>
          </w:p>
        </w:tc>
        <w:tc>
          <w:tcPr>
            <w:tcW w:w="559" w:type="pct"/>
            <w:tcBorders>
              <w:left w:val="single" w:sz="8" w:space="0" w:color="7BA0CD" w:themeColor="accent1" w:themeTint="BF"/>
              <w:bottom w:val="nil"/>
              <w:right w:val="single" w:sz="8" w:space="0" w:color="7BA0CD" w:themeColor="accent1" w:themeTint="BF"/>
            </w:tcBorders>
            <w:shd w:val="clear" w:color="auto" w:fill="auto"/>
            <w:noWrap/>
            <w:vAlign w:val="center"/>
            <w:hideMark/>
          </w:tcPr>
          <w:p w14:paraId="117132E1" w14:textId="4CEC0383"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99,625</w:t>
            </w:r>
          </w:p>
        </w:tc>
        <w:tc>
          <w:tcPr>
            <w:tcW w:w="513" w:type="pct"/>
            <w:tcBorders>
              <w:left w:val="single" w:sz="8" w:space="0" w:color="7BA0CD" w:themeColor="accent1" w:themeTint="BF"/>
              <w:bottom w:val="nil"/>
              <w:right w:val="single" w:sz="8" w:space="0" w:color="7BA0CD" w:themeColor="accent1" w:themeTint="BF"/>
            </w:tcBorders>
            <w:shd w:val="clear" w:color="auto" w:fill="auto"/>
            <w:noWrap/>
            <w:vAlign w:val="center"/>
            <w:hideMark/>
          </w:tcPr>
          <w:p w14:paraId="3EB991B1" w14:textId="2A32864E"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116,559</w:t>
            </w:r>
          </w:p>
        </w:tc>
        <w:tc>
          <w:tcPr>
            <w:tcW w:w="654" w:type="pct"/>
            <w:tcBorders>
              <w:left w:val="single" w:sz="8" w:space="0" w:color="7BA0CD" w:themeColor="accent1" w:themeTint="BF"/>
              <w:bottom w:val="nil"/>
              <w:right w:val="single" w:sz="8" w:space="0" w:color="7BA0CD" w:themeColor="accent1" w:themeTint="BF"/>
            </w:tcBorders>
            <w:shd w:val="clear" w:color="auto" w:fill="auto"/>
            <w:noWrap/>
            <w:vAlign w:val="center"/>
            <w:hideMark/>
          </w:tcPr>
          <w:p w14:paraId="701716BA" w14:textId="7DBD02EA"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41,235</w:t>
            </w:r>
          </w:p>
        </w:tc>
        <w:tc>
          <w:tcPr>
            <w:tcW w:w="605" w:type="pct"/>
            <w:tcBorders>
              <w:left w:val="single" w:sz="8" w:space="0" w:color="7BA0CD" w:themeColor="accent1" w:themeTint="BF"/>
              <w:bottom w:val="nil"/>
              <w:right w:val="single" w:sz="8" w:space="0" w:color="7BA0CD" w:themeColor="accent1" w:themeTint="BF"/>
            </w:tcBorders>
            <w:shd w:val="clear" w:color="auto" w:fill="auto"/>
            <w:noWrap/>
            <w:vAlign w:val="center"/>
            <w:hideMark/>
          </w:tcPr>
          <w:p w14:paraId="40CFDF32" w14:textId="61DA5260"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68,323</w:t>
            </w:r>
          </w:p>
        </w:tc>
        <w:tc>
          <w:tcPr>
            <w:tcW w:w="606" w:type="pct"/>
            <w:tcBorders>
              <w:left w:val="single" w:sz="8" w:space="0" w:color="7BA0CD" w:themeColor="accent1" w:themeTint="BF"/>
              <w:bottom w:val="nil"/>
            </w:tcBorders>
            <w:shd w:val="clear" w:color="auto" w:fill="auto"/>
            <w:noWrap/>
            <w:vAlign w:val="center"/>
            <w:hideMark/>
          </w:tcPr>
          <w:p w14:paraId="01B26426" w14:textId="35221004"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35,211</w:t>
            </w:r>
          </w:p>
        </w:tc>
      </w:tr>
      <w:tr w:rsidR="00551EF0" w:rsidRPr="00AC1614" w14:paraId="3B4FC548" w14:textId="77777777" w:rsidTr="00823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tcBorders>
              <w:bottom w:val="single" w:sz="8" w:space="0" w:color="7BA0CD" w:themeColor="accent1" w:themeTint="BF"/>
              <w:right w:val="single" w:sz="8" w:space="0" w:color="7BA0CD" w:themeColor="accent1" w:themeTint="BF"/>
            </w:tcBorders>
            <w:noWrap/>
            <w:vAlign w:val="center"/>
            <w:hideMark/>
          </w:tcPr>
          <w:p w14:paraId="505B3452" w14:textId="77777777" w:rsidR="00551EF0" w:rsidRPr="00A07E93" w:rsidRDefault="00551EF0" w:rsidP="00A4070B">
            <w:pPr>
              <w:spacing w:before="0" w:after="0" w:line="240" w:lineRule="auto"/>
              <w:jc w:val="left"/>
              <w:rPr>
                <w:rFonts w:asciiTheme="minorHAnsi" w:hAnsiTheme="minorHAnsi"/>
                <w:color w:val="000000"/>
                <w:sz w:val="18"/>
                <w:szCs w:val="18"/>
              </w:rPr>
            </w:pPr>
          </w:p>
        </w:tc>
        <w:tc>
          <w:tcPr>
            <w:tcW w:w="462"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55F31A5C" w14:textId="1CE5B14A" w:rsidR="00551EF0" w:rsidRPr="0095581D" w:rsidRDefault="006C38C7" w:rsidP="00A4070B">
            <w:pPr>
              <w:pStyle w:val="Tablenormalleft"/>
              <w:jc w:val="left"/>
              <w:cnfStyle w:val="000000100000" w:firstRow="0" w:lastRow="0" w:firstColumn="0" w:lastColumn="0" w:oddVBand="0" w:evenVBand="0" w:oddHBand="1" w:evenHBand="0" w:firstRowFirstColumn="0" w:firstRowLastColumn="0" w:lastRowFirstColumn="0" w:lastRowLastColumn="0"/>
            </w:pPr>
            <w:r w:rsidRPr="0095581D">
              <w:t>Pe</w:t>
            </w:r>
            <w:r>
              <w:t>rce</w:t>
            </w:r>
            <w:r w:rsidRPr="0095581D">
              <w:t>nt</w:t>
            </w:r>
          </w:p>
        </w:tc>
        <w:tc>
          <w:tcPr>
            <w:tcW w:w="51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6A471CD4" w14:textId="3BD20376"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11%</w:t>
            </w:r>
          </w:p>
        </w:tc>
        <w:tc>
          <w:tcPr>
            <w:tcW w:w="559"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4529CFF3" w14:textId="3E3FF7CA"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25%</w:t>
            </w:r>
          </w:p>
        </w:tc>
        <w:tc>
          <w:tcPr>
            <w:tcW w:w="513"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701B7C6F" w14:textId="41ABB3DE"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29%</w:t>
            </w:r>
          </w:p>
        </w:tc>
        <w:tc>
          <w:tcPr>
            <w:tcW w:w="65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6981A263" w14:textId="320BEC70"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10%</w:t>
            </w:r>
          </w:p>
        </w:tc>
        <w:tc>
          <w:tcPr>
            <w:tcW w:w="605"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2D3F97BE" w14:textId="070AB869"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17%</w:t>
            </w:r>
          </w:p>
        </w:tc>
        <w:tc>
          <w:tcPr>
            <w:tcW w:w="606" w:type="pct"/>
            <w:tcBorders>
              <w:top w:val="nil"/>
              <w:left w:val="single" w:sz="8" w:space="0" w:color="7BA0CD" w:themeColor="accent1" w:themeTint="BF"/>
              <w:bottom w:val="single" w:sz="8" w:space="0" w:color="7BA0CD" w:themeColor="accent1" w:themeTint="BF"/>
            </w:tcBorders>
            <w:shd w:val="clear" w:color="auto" w:fill="auto"/>
            <w:noWrap/>
            <w:vAlign w:val="center"/>
            <w:hideMark/>
          </w:tcPr>
          <w:p w14:paraId="7BAD1D73" w14:textId="6491C350"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9%</w:t>
            </w:r>
          </w:p>
        </w:tc>
      </w:tr>
      <w:tr w:rsidR="00364186" w:rsidRPr="00AC1614" w14:paraId="3EDBA2EF" w14:textId="77777777" w:rsidTr="00823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val="restart"/>
            <w:tcBorders>
              <w:top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7E502269" w14:textId="77777777" w:rsidR="00551EF0" w:rsidRPr="00A07E93" w:rsidRDefault="00551EF0" w:rsidP="00A4070B">
            <w:pPr>
              <w:pStyle w:val="Tablesub-heading"/>
            </w:pPr>
            <w:r w:rsidRPr="00A07E93">
              <w:lastRenderedPageBreak/>
              <w:t>Black, Non-Hispanic</w:t>
            </w:r>
          </w:p>
        </w:tc>
        <w:tc>
          <w:tcPr>
            <w:tcW w:w="462"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63450C61" w14:textId="77777777" w:rsidR="00551EF0" w:rsidRPr="0095581D" w:rsidRDefault="00551EF0" w:rsidP="00A4070B">
            <w:pPr>
              <w:pStyle w:val="Tablenormalleft"/>
              <w:jc w:val="left"/>
              <w:cnfStyle w:val="000000010000" w:firstRow="0" w:lastRow="0" w:firstColumn="0" w:lastColumn="0" w:oddVBand="0" w:evenVBand="0" w:oddHBand="0" w:evenHBand="1" w:firstRowFirstColumn="0" w:firstRowLastColumn="0" w:lastRowFirstColumn="0" w:lastRowLastColumn="0"/>
            </w:pPr>
            <w:r w:rsidRPr="0095581D">
              <w:t>Count</w:t>
            </w:r>
          </w:p>
        </w:tc>
        <w:tc>
          <w:tcPr>
            <w:tcW w:w="51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6AF8D734" w14:textId="373F1C1A"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8,929</w:t>
            </w:r>
          </w:p>
        </w:tc>
        <w:tc>
          <w:tcPr>
            <w:tcW w:w="559"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6764CA4B" w14:textId="48F3DEDD"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11,607</w:t>
            </w:r>
          </w:p>
        </w:tc>
        <w:tc>
          <w:tcPr>
            <w:tcW w:w="513"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20B1885F" w14:textId="42447FAD"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12,114</w:t>
            </w:r>
          </w:p>
        </w:tc>
        <w:tc>
          <w:tcPr>
            <w:tcW w:w="65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55C97848" w14:textId="140F17E8"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3,572</w:t>
            </w:r>
          </w:p>
        </w:tc>
        <w:tc>
          <w:tcPr>
            <w:tcW w:w="605"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2D183ED8" w14:textId="14422A03"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3,981</w:t>
            </w:r>
          </w:p>
        </w:tc>
        <w:tc>
          <w:tcPr>
            <w:tcW w:w="606" w:type="pct"/>
            <w:tcBorders>
              <w:top w:val="single" w:sz="8" w:space="0" w:color="7BA0CD" w:themeColor="accent1" w:themeTint="BF"/>
              <w:left w:val="single" w:sz="8" w:space="0" w:color="7BA0CD" w:themeColor="accent1" w:themeTint="BF"/>
              <w:bottom w:val="nil"/>
            </w:tcBorders>
            <w:shd w:val="clear" w:color="auto" w:fill="DBE5F1" w:themeFill="accent1" w:themeFillTint="33"/>
            <w:noWrap/>
            <w:vAlign w:val="center"/>
            <w:hideMark/>
          </w:tcPr>
          <w:p w14:paraId="162FB266" w14:textId="7CACEFE0"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2,039</w:t>
            </w:r>
          </w:p>
        </w:tc>
      </w:tr>
      <w:tr w:rsidR="00364186" w:rsidRPr="00AC1614" w14:paraId="6A53868F" w14:textId="77777777" w:rsidTr="00823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tcBorders>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0B06874A" w14:textId="77777777" w:rsidR="00551EF0" w:rsidRPr="00A07E93" w:rsidRDefault="00551EF0" w:rsidP="00A4070B">
            <w:pPr>
              <w:spacing w:before="0" w:after="0" w:line="240" w:lineRule="auto"/>
              <w:jc w:val="left"/>
              <w:rPr>
                <w:rFonts w:asciiTheme="minorHAnsi" w:hAnsiTheme="minorHAnsi"/>
                <w:color w:val="000000"/>
                <w:sz w:val="18"/>
                <w:szCs w:val="18"/>
              </w:rPr>
            </w:pPr>
          </w:p>
        </w:tc>
        <w:tc>
          <w:tcPr>
            <w:tcW w:w="462"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1480DAE8" w14:textId="79E7553E" w:rsidR="00551EF0" w:rsidRPr="0095581D" w:rsidRDefault="006C38C7" w:rsidP="00A4070B">
            <w:pPr>
              <w:pStyle w:val="Tablenormalleft"/>
              <w:jc w:val="left"/>
              <w:cnfStyle w:val="000000100000" w:firstRow="0" w:lastRow="0" w:firstColumn="0" w:lastColumn="0" w:oddVBand="0" w:evenVBand="0" w:oddHBand="1" w:evenHBand="0" w:firstRowFirstColumn="0" w:firstRowLastColumn="0" w:lastRowFirstColumn="0" w:lastRowLastColumn="0"/>
            </w:pPr>
            <w:r w:rsidRPr="0095581D">
              <w:t>Pe</w:t>
            </w:r>
            <w:r>
              <w:t>rce</w:t>
            </w:r>
            <w:r w:rsidRPr="0095581D">
              <w:t>nt</w:t>
            </w:r>
          </w:p>
        </w:tc>
        <w:tc>
          <w:tcPr>
            <w:tcW w:w="51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2E5AB286" w14:textId="440DE7B0"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21%</w:t>
            </w:r>
          </w:p>
        </w:tc>
        <w:tc>
          <w:tcPr>
            <w:tcW w:w="559"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687F9A04" w14:textId="55EB5CC0"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27%</w:t>
            </w:r>
          </w:p>
        </w:tc>
        <w:tc>
          <w:tcPr>
            <w:tcW w:w="513"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02447568" w14:textId="035CD3FD"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29%</w:t>
            </w:r>
          </w:p>
        </w:tc>
        <w:tc>
          <w:tcPr>
            <w:tcW w:w="65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1758C41E" w14:textId="18A079B3"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8%</w:t>
            </w:r>
          </w:p>
        </w:tc>
        <w:tc>
          <w:tcPr>
            <w:tcW w:w="605"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43686241" w14:textId="6EDE9C93"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9%</w:t>
            </w:r>
          </w:p>
        </w:tc>
        <w:tc>
          <w:tcPr>
            <w:tcW w:w="606" w:type="pct"/>
            <w:tcBorders>
              <w:top w:val="nil"/>
              <w:left w:val="single" w:sz="8" w:space="0" w:color="7BA0CD" w:themeColor="accent1" w:themeTint="BF"/>
              <w:bottom w:val="single" w:sz="8" w:space="0" w:color="7BA0CD" w:themeColor="accent1" w:themeTint="BF"/>
            </w:tcBorders>
            <w:shd w:val="clear" w:color="auto" w:fill="DBE5F1" w:themeFill="accent1" w:themeFillTint="33"/>
            <w:noWrap/>
            <w:vAlign w:val="center"/>
            <w:hideMark/>
          </w:tcPr>
          <w:p w14:paraId="168E40AA" w14:textId="6F94E440"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5%</w:t>
            </w:r>
          </w:p>
        </w:tc>
      </w:tr>
      <w:tr w:rsidR="00551EF0" w:rsidRPr="00AC1614" w14:paraId="747E43A9" w14:textId="77777777" w:rsidTr="00823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val="restart"/>
            <w:tcBorders>
              <w:top w:val="single" w:sz="8" w:space="0" w:color="7BA0CD" w:themeColor="accent1" w:themeTint="BF"/>
              <w:right w:val="single" w:sz="8" w:space="0" w:color="7BA0CD" w:themeColor="accent1" w:themeTint="BF"/>
            </w:tcBorders>
            <w:noWrap/>
            <w:vAlign w:val="center"/>
            <w:hideMark/>
          </w:tcPr>
          <w:p w14:paraId="215DFCC2" w14:textId="77777777" w:rsidR="00551EF0" w:rsidRPr="00A07E93" w:rsidRDefault="00551EF0" w:rsidP="00A4070B">
            <w:pPr>
              <w:pStyle w:val="Tablesub-heading"/>
            </w:pPr>
            <w:r w:rsidRPr="00A07E93">
              <w:t>American Indian or Alaskan Native, Non-Hispanic</w:t>
            </w:r>
          </w:p>
        </w:tc>
        <w:tc>
          <w:tcPr>
            <w:tcW w:w="462"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2DB66C07" w14:textId="77777777" w:rsidR="00551EF0" w:rsidRPr="0095581D" w:rsidRDefault="00551EF0" w:rsidP="00A4070B">
            <w:pPr>
              <w:pStyle w:val="Tablenormalleft"/>
              <w:jc w:val="left"/>
              <w:cnfStyle w:val="000000010000" w:firstRow="0" w:lastRow="0" w:firstColumn="0" w:lastColumn="0" w:oddVBand="0" w:evenVBand="0" w:oddHBand="0" w:evenHBand="1" w:firstRowFirstColumn="0" w:firstRowLastColumn="0" w:lastRowFirstColumn="0" w:lastRowLastColumn="0"/>
            </w:pPr>
            <w:r w:rsidRPr="0095581D">
              <w:t>Count</w:t>
            </w:r>
          </w:p>
        </w:tc>
        <w:tc>
          <w:tcPr>
            <w:tcW w:w="51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4A5B224F" w14:textId="707F5851"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2,728</w:t>
            </w:r>
          </w:p>
        </w:tc>
        <w:tc>
          <w:tcPr>
            <w:tcW w:w="559"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253FFB68" w14:textId="2C98363E"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2,187</w:t>
            </w:r>
          </w:p>
        </w:tc>
        <w:tc>
          <w:tcPr>
            <w:tcW w:w="513"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229C7BEE" w14:textId="65FB7CB1"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1,892</w:t>
            </w:r>
          </w:p>
        </w:tc>
        <w:tc>
          <w:tcPr>
            <w:tcW w:w="65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684B274F" w14:textId="150D2B4F"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401</w:t>
            </w:r>
          </w:p>
        </w:tc>
        <w:tc>
          <w:tcPr>
            <w:tcW w:w="605"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262FF757" w14:textId="6DDCE604"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655</w:t>
            </w:r>
          </w:p>
        </w:tc>
        <w:tc>
          <w:tcPr>
            <w:tcW w:w="606" w:type="pct"/>
            <w:tcBorders>
              <w:top w:val="single" w:sz="8" w:space="0" w:color="7BA0CD" w:themeColor="accent1" w:themeTint="BF"/>
              <w:left w:val="single" w:sz="8" w:space="0" w:color="7BA0CD" w:themeColor="accent1" w:themeTint="BF"/>
              <w:bottom w:val="nil"/>
            </w:tcBorders>
            <w:shd w:val="clear" w:color="auto" w:fill="auto"/>
            <w:noWrap/>
            <w:vAlign w:val="center"/>
            <w:hideMark/>
          </w:tcPr>
          <w:p w14:paraId="19307ED4" w14:textId="63538913"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225</w:t>
            </w:r>
          </w:p>
        </w:tc>
      </w:tr>
      <w:tr w:rsidR="00551EF0" w:rsidRPr="00AC1614" w14:paraId="161571EE" w14:textId="77777777" w:rsidTr="00823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tcBorders>
              <w:bottom w:val="single" w:sz="8" w:space="0" w:color="7BA0CD" w:themeColor="accent1" w:themeTint="BF"/>
              <w:right w:val="single" w:sz="8" w:space="0" w:color="7BA0CD" w:themeColor="accent1" w:themeTint="BF"/>
            </w:tcBorders>
            <w:noWrap/>
            <w:vAlign w:val="center"/>
            <w:hideMark/>
          </w:tcPr>
          <w:p w14:paraId="2AF69086" w14:textId="77777777" w:rsidR="00551EF0" w:rsidRPr="00A07E93" w:rsidRDefault="00551EF0" w:rsidP="00A4070B">
            <w:pPr>
              <w:spacing w:before="0" w:after="0" w:line="240" w:lineRule="auto"/>
              <w:jc w:val="left"/>
              <w:rPr>
                <w:rFonts w:asciiTheme="minorHAnsi" w:hAnsiTheme="minorHAnsi"/>
                <w:color w:val="000000"/>
                <w:sz w:val="18"/>
                <w:szCs w:val="18"/>
              </w:rPr>
            </w:pPr>
          </w:p>
        </w:tc>
        <w:tc>
          <w:tcPr>
            <w:tcW w:w="462"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50132E55" w14:textId="36C4552F" w:rsidR="00551EF0" w:rsidRPr="0095581D" w:rsidRDefault="006C38C7" w:rsidP="00A4070B">
            <w:pPr>
              <w:pStyle w:val="Tablenormalleft"/>
              <w:jc w:val="left"/>
              <w:cnfStyle w:val="000000100000" w:firstRow="0" w:lastRow="0" w:firstColumn="0" w:lastColumn="0" w:oddVBand="0" w:evenVBand="0" w:oddHBand="1" w:evenHBand="0" w:firstRowFirstColumn="0" w:firstRowLastColumn="0" w:lastRowFirstColumn="0" w:lastRowLastColumn="0"/>
            </w:pPr>
            <w:r w:rsidRPr="0095581D">
              <w:t>Pe</w:t>
            </w:r>
            <w:r>
              <w:t>rce</w:t>
            </w:r>
            <w:r w:rsidRPr="0095581D">
              <w:t>nt</w:t>
            </w:r>
          </w:p>
        </w:tc>
        <w:tc>
          <w:tcPr>
            <w:tcW w:w="51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0AE561ED" w14:textId="24F8DAB4"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34%</w:t>
            </w:r>
          </w:p>
        </w:tc>
        <w:tc>
          <w:tcPr>
            <w:tcW w:w="559"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1CEA7BEB" w14:textId="4762A38C"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27%</w:t>
            </w:r>
          </w:p>
        </w:tc>
        <w:tc>
          <w:tcPr>
            <w:tcW w:w="513"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6AA0B066" w14:textId="76BB6ED1"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23%</w:t>
            </w:r>
          </w:p>
        </w:tc>
        <w:tc>
          <w:tcPr>
            <w:tcW w:w="65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319C2494" w14:textId="3B045CBC"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5%</w:t>
            </w:r>
          </w:p>
        </w:tc>
        <w:tc>
          <w:tcPr>
            <w:tcW w:w="605"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4E340E58" w14:textId="40892DA8"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8%</w:t>
            </w:r>
          </w:p>
        </w:tc>
        <w:tc>
          <w:tcPr>
            <w:tcW w:w="606" w:type="pct"/>
            <w:tcBorders>
              <w:top w:val="nil"/>
              <w:left w:val="single" w:sz="8" w:space="0" w:color="7BA0CD" w:themeColor="accent1" w:themeTint="BF"/>
              <w:bottom w:val="single" w:sz="8" w:space="0" w:color="7BA0CD" w:themeColor="accent1" w:themeTint="BF"/>
            </w:tcBorders>
            <w:shd w:val="clear" w:color="auto" w:fill="auto"/>
            <w:noWrap/>
            <w:vAlign w:val="center"/>
            <w:hideMark/>
          </w:tcPr>
          <w:p w14:paraId="3E1711DF" w14:textId="21C72013"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3%</w:t>
            </w:r>
          </w:p>
        </w:tc>
      </w:tr>
      <w:tr w:rsidR="00364186" w:rsidRPr="00AC1614" w14:paraId="27EA2899" w14:textId="77777777" w:rsidTr="00823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val="restart"/>
            <w:tcBorders>
              <w:top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4FC069BD" w14:textId="77777777" w:rsidR="00551EF0" w:rsidRPr="00A07E93" w:rsidRDefault="00551EF0" w:rsidP="00A4070B">
            <w:pPr>
              <w:pStyle w:val="Tablesub-heading"/>
            </w:pPr>
            <w:r w:rsidRPr="00A07E93">
              <w:t>Asian, Non-Hispanic</w:t>
            </w:r>
          </w:p>
        </w:tc>
        <w:tc>
          <w:tcPr>
            <w:tcW w:w="462"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23A54CEE" w14:textId="77777777" w:rsidR="00551EF0" w:rsidRPr="0095581D" w:rsidRDefault="00551EF0" w:rsidP="00A4070B">
            <w:pPr>
              <w:pStyle w:val="Tablenormalleft"/>
              <w:jc w:val="left"/>
              <w:cnfStyle w:val="000000010000" w:firstRow="0" w:lastRow="0" w:firstColumn="0" w:lastColumn="0" w:oddVBand="0" w:evenVBand="0" w:oddHBand="0" w:evenHBand="1" w:firstRowFirstColumn="0" w:firstRowLastColumn="0" w:lastRowFirstColumn="0" w:lastRowLastColumn="0"/>
            </w:pPr>
            <w:r w:rsidRPr="0095581D">
              <w:t>Count</w:t>
            </w:r>
          </w:p>
        </w:tc>
        <w:tc>
          <w:tcPr>
            <w:tcW w:w="51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17851510" w14:textId="284A6259"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18,651</w:t>
            </w:r>
          </w:p>
        </w:tc>
        <w:tc>
          <w:tcPr>
            <w:tcW w:w="559"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6785CF0B" w14:textId="00F3919C"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10,662</w:t>
            </w:r>
          </w:p>
        </w:tc>
        <w:tc>
          <w:tcPr>
            <w:tcW w:w="513"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1364B6BC" w14:textId="12082523"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11,842</w:t>
            </w:r>
          </w:p>
        </w:tc>
        <w:tc>
          <w:tcPr>
            <w:tcW w:w="65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19C306B1" w14:textId="621FA631"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6,791</w:t>
            </w:r>
          </w:p>
        </w:tc>
        <w:tc>
          <w:tcPr>
            <w:tcW w:w="605"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69E47736" w14:textId="32DDCB9D"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17,574</w:t>
            </w:r>
          </w:p>
        </w:tc>
        <w:tc>
          <w:tcPr>
            <w:tcW w:w="606" w:type="pct"/>
            <w:tcBorders>
              <w:top w:val="single" w:sz="8" w:space="0" w:color="7BA0CD" w:themeColor="accent1" w:themeTint="BF"/>
              <w:left w:val="single" w:sz="8" w:space="0" w:color="7BA0CD" w:themeColor="accent1" w:themeTint="BF"/>
              <w:bottom w:val="nil"/>
            </w:tcBorders>
            <w:shd w:val="clear" w:color="auto" w:fill="DBE5F1" w:themeFill="accent1" w:themeFillTint="33"/>
            <w:noWrap/>
            <w:vAlign w:val="center"/>
            <w:hideMark/>
          </w:tcPr>
          <w:p w14:paraId="7CBE3452" w14:textId="0066B489"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7,287</w:t>
            </w:r>
          </w:p>
        </w:tc>
      </w:tr>
      <w:tr w:rsidR="00364186" w:rsidRPr="00AC1614" w14:paraId="3FBAFD45" w14:textId="77777777" w:rsidTr="00823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tcBorders>
              <w:top w:val="nil"/>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5D244455" w14:textId="77777777" w:rsidR="00551EF0" w:rsidRPr="00A07E93" w:rsidRDefault="00551EF0" w:rsidP="00A4070B">
            <w:pPr>
              <w:spacing w:before="0" w:after="0" w:line="240" w:lineRule="auto"/>
              <w:jc w:val="left"/>
              <w:rPr>
                <w:rFonts w:asciiTheme="minorHAnsi" w:hAnsiTheme="minorHAnsi"/>
                <w:color w:val="000000"/>
                <w:sz w:val="18"/>
                <w:szCs w:val="18"/>
              </w:rPr>
            </w:pPr>
          </w:p>
        </w:tc>
        <w:tc>
          <w:tcPr>
            <w:tcW w:w="462"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535E470C" w14:textId="370D0F33" w:rsidR="00551EF0" w:rsidRPr="0095581D" w:rsidRDefault="006C38C7" w:rsidP="00A4070B">
            <w:pPr>
              <w:pStyle w:val="Tablenormalleft"/>
              <w:jc w:val="left"/>
              <w:cnfStyle w:val="000000100000" w:firstRow="0" w:lastRow="0" w:firstColumn="0" w:lastColumn="0" w:oddVBand="0" w:evenVBand="0" w:oddHBand="1" w:evenHBand="0" w:firstRowFirstColumn="0" w:firstRowLastColumn="0" w:lastRowFirstColumn="0" w:lastRowLastColumn="0"/>
            </w:pPr>
            <w:r w:rsidRPr="0095581D">
              <w:t>Pe</w:t>
            </w:r>
            <w:r>
              <w:t>rce</w:t>
            </w:r>
            <w:r w:rsidRPr="0095581D">
              <w:t>nt</w:t>
            </w:r>
          </w:p>
        </w:tc>
        <w:tc>
          <w:tcPr>
            <w:tcW w:w="51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62D86CDA" w14:textId="548EDB43"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26%</w:t>
            </w:r>
          </w:p>
        </w:tc>
        <w:tc>
          <w:tcPr>
            <w:tcW w:w="559"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23D4CAB4" w14:textId="1A8B2C93"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15%</w:t>
            </w:r>
          </w:p>
        </w:tc>
        <w:tc>
          <w:tcPr>
            <w:tcW w:w="513"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35711742" w14:textId="094C25DD"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16%</w:t>
            </w:r>
          </w:p>
        </w:tc>
        <w:tc>
          <w:tcPr>
            <w:tcW w:w="65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4E961DD6" w14:textId="6534586D"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9%</w:t>
            </w:r>
          </w:p>
        </w:tc>
        <w:tc>
          <w:tcPr>
            <w:tcW w:w="605"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700372EE" w14:textId="0FD0A230"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24%</w:t>
            </w:r>
          </w:p>
        </w:tc>
        <w:tc>
          <w:tcPr>
            <w:tcW w:w="606" w:type="pct"/>
            <w:tcBorders>
              <w:top w:val="nil"/>
              <w:left w:val="single" w:sz="8" w:space="0" w:color="7BA0CD" w:themeColor="accent1" w:themeTint="BF"/>
              <w:bottom w:val="single" w:sz="8" w:space="0" w:color="7BA0CD" w:themeColor="accent1" w:themeTint="BF"/>
            </w:tcBorders>
            <w:shd w:val="clear" w:color="auto" w:fill="DBE5F1" w:themeFill="accent1" w:themeFillTint="33"/>
            <w:noWrap/>
            <w:vAlign w:val="center"/>
            <w:hideMark/>
          </w:tcPr>
          <w:p w14:paraId="4F5D0CA5" w14:textId="3457B7F1"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10%</w:t>
            </w:r>
          </w:p>
        </w:tc>
      </w:tr>
      <w:tr w:rsidR="00551EF0" w:rsidRPr="00AC1614" w14:paraId="3388C647" w14:textId="77777777" w:rsidTr="00823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val="restart"/>
            <w:tcBorders>
              <w:top w:val="single" w:sz="8" w:space="0" w:color="7BA0CD" w:themeColor="accent1" w:themeTint="BF"/>
              <w:bottom w:val="nil"/>
              <w:right w:val="single" w:sz="8" w:space="0" w:color="7BA0CD" w:themeColor="accent1" w:themeTint="BF"/>
            </w:tcBorders>
            <w:shd w:val="clear" w:color="auto" w:fill="auto"/>
            <w:noWrap/>
            <w:vAlign w:val="center"/>
            <w:hideMark/>
          </w:tcPr>
          <w:p w14:paraId="0393060E" w14:textId="77777777" w:rsidR="00551EF0" w:rsidRPr="00A07E93" w:rsidRDefault="00551EF0" w:rsidP="00A4070B">
            <w:pPr>
              <w:pStyle w:val="Tablesub-heading"/>
            </w:pPr>
            <w:r w:rsidRPr="00A07E93">
              <w:t>Native Hawaiian or Pacific Islander, Non-Hispanic</w:t>
            </w:r>
          </w:p>
        </w:tc>
        <w:tc>
          <w:tcPr>
            <w:tcW w:w="462"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3A5BED3A" w14:textId="77777777" w:rsidR="00551EF0" w:rsidRPr="0095581D" w:rsidRDefault="00551EF0" w:rsidP="00A4070B">
            <w:pPr>
              <w:pStyle w:val="Tablenormalleft"/>
              <w:jc w:val="left"/>
              <w:cnfStyle w:val="000000010000" w:firstRow="0" w:lastRow="0" w:firstColumn="0" w:lastColumn="0" w:oddVBand="0" w:evenVBand="0" w:oddHBand="0" w:evenHBand="1" w:firstRowFirstColumn="0" w:firstRowLastColumn="0" w:lastRowFirstColumn="0" w:lastRowLastColumn="0"/>
            </w:pPr>
            <w:r w:rsidRPr="0095581D">
              <w:t>Count</w:t>
            </w:r>
          </w:p>
        </w:tc>
        <w:tc>
          <w:tcPr>
            <w:tcW w:w="51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73A88F00" w14:textId="229ACE3F"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190</w:t>
            </w:r>
          </w:p>
        </w:tc>
        <w:tc>
          <w:tcPr>
            <w:tcW w:w="559"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2482F766" w14:textId="65CBB4AD"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313</w:t>
            </w:r>
          </w:p>
        </w:tc>
        <w:tc>
          <w:tcPr>
            <w:tcW w:w="513"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4F59DC65" w14:textId="58E257AC"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231</w:t>
            </w:r>
          </w:p>
        </w:tc>
        <w:tc>
          <w:tcPr>
            <w:tcW w:w="65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4568EE73" w14:textId="05563CD7"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55</w:t>
            </w:r>
          </w:p>
        </w:tc>
        <w:tc>
          <w:tcPr>
            <w:tcW w:w="605"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659090DC" w14:textId="43382DBC"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423</w:t>
            </w:r>
          </w:p>
        </w:tc>
        <w:tc>
          <w:tcPr>
            <w:tcW w:w="606" w:type="pct"/>
            <w:tcBorders>
              <w:top w:val="single" w:sz="8" w:space="0" w:color="7BA0CD" w:themeColor="accent1" w:themeTint="BF"/>
              <w:left w:val="single" w:sz="8" w:space="0" w:color="7BA0CD" w:themeColor="accent1" w:themeTint="BF"/>
              <w:bottom w:val="nil"/>
            </w:tcBorders>
            <w:shd w:val="clear" w:color="auto" w:fill="auto"/>
            <w:noWrap/>
            <w:vAlign w:val="center"/>
            <w:hideMark/>
          </w:tcPr>
          <w:p w14:paraId="76123504" w14:textId="61A4E53B"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68</w:t>
            </w:r>
          </w:p>
        </w:tc>
      </w:tr>
      <w:tr w:rsidR="00551EF0" w:rsidRPr="00AC1614" w14:paraId="63D07D31" w14:textId="77777777" w:rsidTr="00823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tcBorders>
              <w:top w:val="nil"/>
              <w:bottom w:val="single" w:sz="8" w:space="0" w:color="7BA0CD" w:themeColor="accent1" w:themeTint="BF"/>
              <w:right w:val="single" w:sz="8" w:space="0" w:color="7BA0CD" w:themeColor="accent1" w:themeTint="BF"/>
            </w:tcBorders>
            <w:shd w:val="clear" w:color="auto" w:fill="auto"/>
            <w:noWrap/>
            <w:vAlign w:val="center"/>
            <w:hideMark/>
          </w:tcPr>
          <w:p w14:paraId="212B53F5" w14:textId="77777777" w:rsidR="00551EF0" w:rsidRPr="00A07E93" w:rsidRDefault="00551EF0" w:rsidP="00A4070B">
            <w:pPr>
              <w:spacing w:before="0" w:after="0" w:line="240" w:lineRule="auto"/>
              <w:jc w:val="left"/>
              <w:rPr>
                <w:rFonts w:asciiTheme="minorHAnsi" w:hAnsiTheme="minorHAnsi"/>
                <w:color w:val="000000"/>
                <w:sz w:val="18"/>
                <w:szCs w:val="18"/>
              </w:rPr>
            </w:pPr>
          </w:p>
        </w:tc>
        <w:tc>
          <w:tcPr>
            <w:tcW w:w="462"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1640A065" w14:textId="1D071CB9" w:rsidR="00551EF0" w:rsidRPr="0095581D" w:rsidRDefault="006C38C7" w:rsidP="00A4070B">
            <w:pPr>
              <w:pStyle w:val="Tablenormalleft"/>
              <w:jc w:val="left"/>
              <w:cnfStyle w:val="000000100000" w:firstRow="0" w:lastRow="0" w:firstColumn="0" w:lastColumn="0" w:oddVBand="0" w:evenVBand="0" w:oddHBand="1" w:evenHBand="0" w:firstRowFirstColumn="0" w:firstRowLastColumn="0" w:lastRowFirstColumn="0" w:lastRowLastColumn="0"/>
            </w:pPr>
            <w:r w:rsidRPr="0095581D">
              <w:t>Pe</w:t>
            </w:r>
            <w:r>
              <w:t>rce</w:t>
            </w:r>
            <w:r w:rsidRPr="0095581D">
              <w:t>nt</w:t>
            </w:r>
          </w:p>
        </w:tc>
        <w:tc>
          <w:tcPr>
            <w:tcW w:w="51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4855F39F" w14:textId="7173334D"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15%</w:t>
            </w:r>
          </w:p>
        </w:tc>
        <w:tc>
          <w:tcPr>
            <w:tcW w:w="559"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246FE5B1" w14:textId="408EAB65"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24%</w:t>
            </w:r>
          </w:p>
        </w:tc>
        <w:tc>
          <w:tcPr>
            <w:tcW w:w="513"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73CB835A" w14:textId="32D4DAA7"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18%</w:t>
            </w:r>
          </w:p>
        </w:tc>
        <w:tc>
          <w:tcPr>
            <w:tcW w:w="65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617AFB8B" w14:textId="47BE7EBB"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4%</w:t>
            </w:r>
          </w:p>
        </w:tc>
        <w:tc>
          <w:tcPr>
            <w:tcW w:w="605"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4610FA42" w14:textId="0421A9B1"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33%</w:t>
            </w:r>
          </w:p>
        </w:tc>
        <w:tc>
          <w:tcPr>
            <w:tcW w:w="606" w:type="pct"/>
            <w:tcBorders>
              <w:top w:val="nil"/>
              <w:left w:val="single" w:sz="8" w:space="0" w:color="7BA0CD" w:themeColor="accent1" w:themeTint="BF"/>
              <w:bottom w:val="single" w:sz="8" w:space="0" w:color="7BA0CD" w:themeColor="accent1" w:themeTint="BF"/>
            </w:tcBorders>
            <w:shd w:val="clear" w:color="auto" w:fill="auto"/>
            <w:noWrap/>
            <w:vAlign w:val="center"/>
            <w:hideMark/>
          </w:tcPr>
          <w:p w14:paraId="145D8BFF" w14:textId="7989102B"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5%</w:t>
            </w:r>
          </w:p>
        </w:tc>
      </w:tr>
      <w:tr w:rsidR="00364186" w:rsidRPr="00AC1614" w14:paraId="2BC1A461" w14:textId="77777777" w:rsidTr="00823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val="restart"/>
            <w:tcBorders>
              <w:top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505FAC8C" w14:textId="77777777" w:rsidR="00551EF0" w:rsidRPr="00A07E93" w:rsidRDefault="00551EF0" w:rsidP="00A4070B">
            <w:pPr>
              <w:pStyle w:val="Tablesub-heading"/>
            </w:pPr>
            <w:r w:rsidRPr="00A07E93">
              <w:t>Two or More Races, Non-Hispanic</w:t>
            </w:r>
          </w:p>
        </w:tc>
        <w:tc>
          <w:tcPr>
            <w:tcW w:w="462"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016B5858" w14:textId="77777777" w:rsidR="00551EF0" w:rsidRPr="0095581D" w:rsidRDefault="00551EF0" w:rsidP="00A4070B">
            <w:pPr>
              <w:pStyle w:val="Tablenormalleft"/>
              <w:jc w:val="left"/>
              <w:cnfStyle w:val="000000010000" w:firstRow="0" w:lastRow="0" w:firstColumn="0" w:lastColumn="0" w:oddVBand="0" w:evenVBand="0" w:oddHBand="0" w:evenHBand="1" w:firstRowFirstColumn="0" w:firstRowLastColumn="0" w:lastRowFirstColumn="0" w:lastRowLastColumn="0"/>
            </w:pPr>
            <w:r w:rsidRPr="0095581D">
              <w:t>Count</w:t>
            </w:r>
          </w:p>
        </w:tc>
        <w:tc>
          <w:tcPr>
            <w:tcW w:w="51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0E28E783" w14:textId="6244C3D4"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3,564</w:t>
            </w:r>
          </w:p>
        </w:tc>
        <w:tc>
          <w:tcPr>
            <w:tcW w:w="559"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52464144" w14:textId="040FF59F"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2,793</w:t>
            </w:r>
          </w:p>
        </w:tc>
        <w:tc>
          <w:tcPr>
            <w:tcW w:w="513"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6C42A747" w14:textId="25F01ECA"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3,638</w:t>
            </w:r>
          </w:p>
        </w:tc>
        <w:tc>
          <w:tcPr>
            <w:tcW w:w="65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541841A8" w14:textId="51047904"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1,057</w:t>
            </w:r>
          </w:p>
        </w:tc>
        <w:tc>
          <w:tcPr>
            <w:tcW w:w="605"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DBE5F1" w:themeFill="accent1" w:themeFillTint="33"/>
            <w:noWrap/>
            <w:vAlign w:val="center"/>
            <w:hideMark/>
          </w:tcPr>
          <w:p w14:paraId="419BB567" w14:textId="22AAAB77"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1,546</w:t>
            </w:r>
          </w:p>
        </w:tc>
        <w:tc>
          <w:tcPr>
            <w:tcW w:w="606" w:type="pct"/>
            <w:tcBorders>
              <w:top w:val="single" w:sz="8" w:space="0" w:color="7BA0CD" w:themeColor="accent1" w:themeTint="BF"/>
              <w:left w:val="single" w:sz="8" w:space="0" w:color="7BA0CD" w:themeColor="accent1" w:themeTint="BF"/>
              <w:bottom w:val="nil"/>
            </w:tcBorders>
            <w:shd w:val="clear" w:color="auto" w:fill="DBE5F1" w:themeFill="accent1" w:themeFillTint="33"/>
            <w:noWrap/>
            <w:vAlign w:val="center"/>
            <w:hideMark/>
          </w:tcPr>
          <w:p w14:paraId="0D8B156D" w14:textId="4FD32132"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631</w:t>
            </w:r>
          </w:p>
        </w:tc>
      </w:tr>
      <w:tr w:rsidR="00364186" w:rsidRPr="00AC1614" w14:paraId="7B79F3D2" w14:textId="77777777" w:rsidTr="00823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tcBorders>
              <w:top w:val="nil"/>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3ECBF667" w14:textId="77777777" w:rsidR="00551EF0" w:rsidRPr="00A07E93" w:rsidRDefault="00551EF0" w:rsidP="00A4070B">
            <w:pPr>
              <w:spacing w:before="0" w:after="0" w:line="240" w:lineRule="auto"/>
              <w:jc w:val="left"/>
              <w:rPr>
                <w:rFonts w:asciiTheme="minorHAnsi" w:hAnsiTheme="minorHAnsi"/>
                <w:color w:val="000000"/>
                <w:sz w:val="18"/>
                <w:szCs w:val="18"/>
              </w:rPr>
            </w:pPr>
          </w:p>
        </w:tc>
        <w:tc>
          <w:tcPr>
            <w:tcW w:w="462"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31B8AD1A" w14:textId="7418587E" w:rsidR="00551EF0" w:rsidRPr="0095581D" w:rsidRDefault="006C38C7" w:rsidP="00A4070B">
            <w:pPr>
              <w:pStyle w:val="Tablenormalleft"/>
              <w:jc w:val="left"/>
              <w:cnfStyle w:val="000000100000" w:firstRow="0" w:lastRow="0" w:firstColumn="0" w:lastColumn="0" w:oddVBand="0" w:evenVBand="0" w:oddHBand="1" w:evenHBand="0" w:firstRowFirstColumn="0" w:firstRowLastColumn="0" w:lastRowFirstColumn="0" w:lastRowLastColumn="0"/>
            </w:pPr>
            <w:r w:rsidRPr="0095581D">
              <w:t>Pe</w:t>
            </w:r>
            <w:r>
              <w:t>rce</w:t>
            </w:r>
            <w:r w:rsidRPr="0095581D">
              <w:t>nt</w:t>
            </w:r>
          </w:p>
        </w:tc>
        <w:tc>
          <w:tcPr>
            <w:tcW w:w="51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14D59690" w14:textId="206C6701"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27%</w:t>
            </w:r>
          </w:p>
        </w:tc>
        <w:tc>
          <w:tcPr>
            <w:tcW w:w="559"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60FDDD2A" w14:textId="3099D6B9"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21%</w:t>
            </w:r>
          </w:p>
        </w:tc>
        <w:tc>
          <w:tcPr>
            <w:tcW w:w="513"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061A7FB5" w14:textId="61CA2908"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28%</w:t>
            </w:r>
          </w:p>
        </w:tc>
        <w:tc>
          <w:tcPr>
            <w:tcW w:w="65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41A2085D" w14:textId="294681CB"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8%</w:t>
            </w:r>
          </w:p>
        </w:tc>
        <w:tc>
          <w:tcPr>
            <w:tcW w:w="605"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noWrap/>
            <w:vAlign w:val="center"/>
            <w:hideMark/>
          </w:tcPr>
          <w:p w14:paraId="0027A7D0" w14:textId="1A4A2AD3"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12%</w:t>
            </w:r>
          </w:p>
        </w:tc>
        <w:tc>
          <w:tcPr>
            <w:tcW w:w="606" w:type="pct"/>
            <w:tcBorders>
              <w:top w:val="nil"/>
              <w:left w:val="single" w:sz="8" w:space="0" w:color="7BA0CD" w:themeColor="accent1" w:themeTint="BF"/>
              <w:bottom w:val="single" w:sz="8" w:space="0" w:color="7BA0CD" w:themeColor="accent1" w:themeTint="BF"/>
            </w:tcBorders>
            <w:shd w:val="clear" w:color="auto" w:fill="DBE5F1" w:themeFill="accent1" w:themeFillTint="33"/>
            <w:noWrap/>
            <w:vAlign w:val="center"/>
            <w:hideMark/>
          </w:tcPr>
          <w:p w14:paraId="0C5D89BE" w14:textId="48BFD13B"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5%</w:t>
            </w:r>
          </w:p>
        </w:tc>
      </w:tr>
      <w:tr w:rsidR="00551EF0" w:rsidRPr="00AC1614" w14:paraId="39B58B73" w14:textId="77777777" w:rsidTr="00823D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val="restart"/>
            <w:tcBorders>
              <w:top w:val="single" w:sz="8" w:space="0" w:color="7BA0CD" w:themeColor="accent1" w:themeTint="BF"/>
              <w:bottom w:val="nil"/>
              <w:right w:val="single" w:sz="8" w:space="0" w:color="7BA0CD" w:themeColor="accent1" w:themeTint="BF"/>
            </w:tcBorders>
            <w:shd w:val="clear" w:color="auto" w:fill="auto"/>
            <w:noWrap/>
            <w:vAlign w:val="center"/>
            <w:hideMark/>
          </w:tcPr>
          <w:p w14:paraId="108BB78B" w14:textId="77777777" w:rsidR="00551EF0" w:rsidRPr="00A07E93" w:rsidRDefault="00551EF0" w:rsidP="00A4070B">
            <w:pPr>
              <w:pStyle w:val="Tablesub-heading"/>
            </w:pPr>
            <w:r w:rsidRPr="00A07E93">
              <w:t>Hispanic, All Types</w:t>
            </w:r>
          </w:p>
        </w:tc>
        <w:tc>
          <w:tcPr>
            <w:tcW w:w="462"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5B0D0837" w14:textId="77777777" w:rsidR="00551EF0" w:rsidRPr="0095581D" w:rsidRDefault="00551EF0" w:rsidP="00A4070B">
            <w:pPr>
              <w:pStyle w:val="Tablenormalleft"/>
              <w:jc w:val="left"/>
              <w:cnfStyle w:val="000000010000" w:firstRow="0" w:lastRow="0" w:firstColumn="0" w:lastColumn="0" w:oddVBand="0" w:evenVBand="0" w:oddHBand="0" w:evenHBand="1" w:firstRowFirstColumn="0" w:firstRowLastColumn="0" w:lastRowFirstColumn="0" w:lastRowLastColumn="0"/>
            </w:pPr>
            <w:r w:rsidRPr="0095581D">
              <w:t>Count</w:t>
            </w:r>
          </w:p>
        </w:tc>
        <w:tc>
          <w:tcPr>
            <w:tcW w:w="51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1E011314" w14:textId="54CAB93D"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253,953</w:t>
            </w:r>
          </w:p>
        </w:tc>
        <w:tc>
          <w:tcPr>
            <w:tcW w:w="559"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2A45ABBA" w14:textId="7CF1137A"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104,352</w:t>
            </w:r>
          </w:p>
        </w:tc>
        <w:tc>
          <w:tcPr>
            <w:tcW w:w="513"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4DD9C0A8" w14:textId="5D68919F"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85,409</w:t>
            </w:r>
          </w:p>
        </w:tc>
        <w:tc>
          <w:tcPr>
            <w:tcW w:w="654"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35C0CED0" w14:textId="2522D6E6"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26,389</w:t>
            </w:r>
          </w:p>
        </w:tc>
        <w:tc>
          <w:tcPr>
            <w:tcW w:w="605" w:type="pct"/>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auto"/>
            <w:noWrap/>
            <w:vAlign w:val="center"/>
            <w:hideMark/>
          </w:tcPr>
          <w:p w14:paraId="40CADCFA" w14:textId="0A9393E9"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24,303</w:t>
            </w:r>
          </w:p>
        </w:tc>
        <w:tc>
          <w:tcPr>
            <w:tcW w:w="606" w:type="pct"/>
            <w:tcBorders>
              <w:top w:val="single" w:sz="8" w:space="0" w:color="7BA0CD" w:themeColor="accent1" w:themeTint="BF"/>
              <w:left w:val="single" w:sz="8" w:space="0" w:color="7BA0CD" w:themeColor="accent1" w:themeTint="BF"/>
              <w:bottom w:val="nil"/>
            </w:tcBorders>
            <w:shd w:val="clear" w:color="auto" w:fill="auto"/>
            <w:noWrap/>
            <w:vAlign w:val="center"/>
            <w:hideMark/>
          </w:tcPr>
          <w:p w14:paraId="418C2D60" w14:textId="7D900CE7" w:rsidR="00551EF0" w:rsidRPr="0095581D" w:rsidRDefault="00551EF0" w:rsidP="00823D16">
            <w:pPr>
              <w:pStyle w:val="Tablenormalright"/>
              <w:cnfStyle w:val="000000010000" w:firstRow="0" w:lastRow="0" w:firstColumn="0" w:lastColumn="0" w:oddVBand="0" w:evenVBand="0" w:oddHBand="0" w:evenHBand="1" w:firstRowFirstColumn="0" w:firstRowLastColumn="0" w:lastRowFirstColumn="0" w:lastRowLastColumn="0"/>
            </w:pPr>
            <w:r w:rsidRPr="00737B89">
              <w:t>8,122</w:t>
            </w:r>
          </w:p>
        </w:tc>
      </w:tr>
      <w:tr w:rsidR="00551EF0" w:rsidRPr="00AC1614" w14:paraId="3B8FECCF" w14:textId="77777777" w:rsidTr="00823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7" w:type="pct"/>
            <w:vMerge/>
            <w:tcBorders>
              <w:top w:val="nil"/>
              <w:bottom w:val="single" w:sz="8" w:space="0" w:color="7BA0CD" w:themeColor="accent1" w:themeTint="BF"/>
              <w:right w:val="single" w:sz="8" w:space="0" w:color="7BA0CD" w:themeColor="accent1" w:themeTint="BF"/>
            </w:tcBorders>
            <w:shd w:val="clear" w:color="auto" w:fill="auto"/>
            <w:noWrap/>
            <w:vAlign w:val="center"/>
            <w:hideMark/>
          </w:tcPr>
          <w:p w14:paraId="04B390E0" w14:textId="77777777" w:rsidR="00551EF0" w:rsidRPr="0095581D" w:rsidRDefault="00551EF0" w:rsidP="00A4070B">
            <w:pPr>
              <w:spacing w:before="0" w:after="0" w:line="240" w:lineRule="auto"/>
              <w:jc w:val="left"/>
              <w:rPr>
                <w:rFonts w:asciiTheme="minorHAnsi" w:hAnsiTheme="minorHAnsi"/>
                <w:color w:val="000000"/>
                <w:sz w:val="18"/>
                <w:szCs w:val="18"/>
              </w:rPr>
            </w:pPr>
          </w:p>
        </w:tc>
        <w:tc>
          <w:tcPr>
            <w:tcW w:w="462"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77C98989" w14:textId="70BBE639" w:rsidR="00551EF0" w:rsidRPr="0095581D" w:rsidRDefault="006C38C7" w:rsidP="00A4070B">
            <w:pPr>
              <w:pStyle w:val="Tablenormalleft"/>
              <w:jc w:val="left"/>
              <w:cnfStyle w:val="000000100000" w:firstRow="0" w:lastRow="0" w:firstColumn="0" w:lastColumn="0" w:oddVBand="0" w:evenVBand="0" w:oddHBand="1" w:evenHBand="0" w:firstRowFirstColumn="0" w:firstRowLastColumn="0" w:lastRowFirstColumn="0" w:lastRowLastColumn="0"/>
            </w:pPr>
            <w:r w:rsidRPr="0095581D">
              <w:t>Pe</w:t>
            </w:r>
            <w:r>
              <w:t>rce</w:t>
            </w:r>
            <w:r w:rsidRPr="0095581D">
              <w:t>nt</w:t>
            </w:r>
          </w:p>
        </w:tc>
        <w:tc>
          <w:tcPr>
            <w:tcW w:w="51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09AE3466" w14:textId="6D1E0795"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51%</w:t>
            </w:r>
          </w:p>
        </w:tc>
        <w:tc>
          <w:tcPr>
            <w:tcW w:w="559"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7B1CE89F" w14:textId="42F81626"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21%</w:t>
            </w:r>
          </w:p>
        </w:tc>
        <w:tc>
          <w:tcPr>
            <w:tcW w:w="513"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1F15051D" w14:textId="5AC756E0"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17%</w:t>
            </w:r>
          </w:p>
        </w:tc>
        <w:tc>
          <w:tcPr>
            <w:tcW w:w="654"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0471EBDA" w14:textId="7D582C2B"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5%</w:t>
            </w:r>
          </w:p>
        </w:tc>
        <w:tc>
          <w:tcPr>
            <w:tcW w:w="605" w:type="pct"/>
            <w:tcBorders>
              <w:top w:val="nil"/>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vAlign w:val="center"/>
            <w:hideMark/>
          </w:tcPr>
          <w:p w14:paraId="2171B428" w14:textId="2CD29124"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5%</w:t>
            </w:r>
          </w:p>
        </w:tc>
        <w:tc>
          <w:tcPr>
            <w:tcW w:w="606" w:type="pct"/>
            <w:tcBorders>
              <w:top w:val="nil"/>
              <w:left w:val="single" w:sz="8" w:space="0" w:color="7BA0CD" w:themeColor="accent1" w:themeTint="BF"/>
              <w:bottom w:val="single" w:sz="8" w:space="0" w:color="7BA0CD" w:themeColor="accent1" w:themeTint="BF"/>
            </w:tcBorders>
            <w:shd w:val="clear" w:color="auto" w:fill="auto"/>
            <w:noWrap/>
            <w:vAlign w:val="center"/>
            <w:hideMark/>
          </w:tcPr>
          <w:p w14:paraId="22193195" w14:textId="7AD2CEA3" w:rsidR="00551EF0" w:rsidRPr="0095581D" w:rsidRDefault="00551EF0" w:rsidP="00823D16">
            <w:pPr>
              <w:pStyle w:val="Tablenormalright"/>
              <w:cnfStyle w:val="000000100000" w:firstRow="0" w:lastRow="0" w:firstColumn="0" w:lastColumn="0" w:oddVBand="0" w:evenVBand="0" w:oddHBand="1" w:evenHBand="0" w:firstRowFirstColumn="0" w:firstRowLastColumn="0" w:lastRowFirstColumn="0" w:lastRowLastColumn="0"/>
            </w:pPr>
            <w:r w:rsidRPr="00737B89">
              <w:t>2%</w:t>
            </w:r>
          </w:p>
        </w:tc>
      </w:tr>
      <w:tr w:rsidR="00A4070B" w:rsidRPr="00AC1614" w14:paraId="13358443" w14:textId="77777777" w:rsidTr="00A407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nil"/>
              <w:bottom w:val="nil"/>
              <w:right w:val="nil"/>
            </w:tcBorders>
            <w:shd w:val="clear" w:color="auto" w:fill="auto"/>
            <w:noWrap/>
          </w:tcPr>
          <w:p w14:paraId="1B7C8636" w14:textId="10BB76CC" w:rsidR="00A4070B" w:rsidRPr="00A07E93" w:rsidRDefault="006C38C7" w:rsidP="00A4070B">
            <w:pPr>
              <w:pStyle w:val="Tablefooterlastline"/>
              <w:rPr>
                <w:szCs w:val="18"/>
              </w:rPr>
            </w:pPr>
            <w:r w:rsidRPr="00A07E93">
              <w:t>Sou</w:t>
            </w:r>
            <w:r>
              <w:t>rce</w:t>
            </w:r>
            <w:r w:rsidR="00A4070B" w:rsidRPr="00A07E93">
              <w:t xml:space="preserve">: EMSI Complete Data </w:t>
            </w:r>
            <w:r w:rsidR="004F7D7D">
              <w:t>2014.3</w:t>
            </w:r>
          </w:p>
        </w:tc>
      </w:tr>
    </w:tbl>
    <w:p w14:paraId="142FF48F" w14:textId="06EDB335" w:rsidR="008D377E" w:rsidRDefault="00551EF0">
      <w:pPr>
        <w:spacing w:before="0" w:after="200" w:line="276" w:lineRule="auto"/>
        <w:jc w:val="left"/>
        <w:rPr>
          <w:rFonts w:asciiTheme="minorHAnsi" w:hAnsiTheme="minorHAnsi"/>
          <w:b/>
          <w:bCs/>
          <w:sz w:val="20"/>
          <w:szCs w:val="20"/>
        </w:rPr>
      </w:pPr>
      <w:r>
        <w:rPr>
          <w:noProof/>
        </w:rPr>
        <w:drawing>
          <wp:inline distT="0" distB="0" distL="0" distR="0" wp14:anchorId="6F99C6FB" wp14:editId="6C4AA6CB">
            <wp:extent cx="5991225" cy="364807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67E462" w14:textId="7B4B62B9" w:rsidR="00641562" w:rsidRPr="0072192A" w:rsidRDefault="00641562" w:rsidP="00641562">
      <w:pPr>
        <w:pStyle w:val="Heading1"/>
      </w:pPr>
      <w:bookmarkStart w:id="17" w:name="_Toc428785414"/>
      <w:bookmarkStart w:id="18" w:name="_Toc239502741"/>
      <w:r>
        <w:lastRenderedPageBreak/>
        <w:t xml:space="preserve">Chapter </w:t>
      </w:r>
      <w:r w:rsidR="001A6A8F">
        <w:t>2</w:t>
      </w:r>
      <w:r>
        <w:t xml:space="preserve">: </w:t>
      </w:r>
      <w:r w:rsidRPr="0072192A">
        <w:t xml:space="preserve">Program Gap </w:t>
      </w:r>
      <w:r w:rsidRPr="00BA0412">
        <w:t>Analysis</w:t>
      </w:r>
      <w:bookmarkEnd w:id="17"/>
    </w:p>
    <w:p w14:paraId="0CB162D7" w14:textId="380A1A5D" w:rsidR="00641562" w:rsidRDefault="00641562" w:rsidP="00641562">
      <w:r w:rsidRPr="007222A4">
        <w:t xml:space="preserve">The results that appear in this chapter present a focused view of </w:t>
      </w:r>
      <w:r>
        <w:t>the</w:t>
      </w:r>
      <w:r w:rsidRPr="007222A4">
        <w:t xml:space="preserve"> program groups projected to have a </w:t>
      </w:r>
      <w:r>
        <w:t xml:space="preserve">regional </w:t>
      </w:r>
      <w:r w:rsidRPr="007222A4">
        <w:t>gap or surplus</w:t>
      </w:r>
      <w:r>
        <w:t xml:space="preserve">. Programs are analyzed at two different levels: postsecondary vocational certifications and associate’s degrees, </w:t>
      </w:r>
      <w:r w:rsidR="00D30516">
        <w:t>according</w:t>
      </w:r>
      <w:r>
        <w:t xml:space="preserve"> to the training level offered at </w:t>
      </w:r>
      <w:r w:rsidR="006C38C7">
        <w:t>CCC</w:t>
      </w:r>
      <w:r>
        <w:t xml:space="preserve">. </w:t>
      </w:r>
    </w:p>
    <w:p w14:paraId="0C29806A" w14:textId="4D93C810" w:rsidR="00641562" w:rsidRDefault="00641562" w:rsidP="00641562">
      <w:r w:rsidRPr="007222A4">
        <w:t xml:space="preserve">Each table includes the </w:t>
      </w:r>
      <w:r w:rsidR="00052DD2">
        <w:t>TOP</w:t>
      </w:r>
      <w:r>
        <w:t xml:space="preserve"> code and title,</w:t>
      </w:r>
      <w:r w:rsidR="00B416C2">
        <w:rPr>
          <w:rStyle w:val="FootnoteReference"/>
        </w:rPr>
        <w:footnoteReference w:id="6"/>
      </w:r>
      <w:r>
        <w:t xml:space="preserve"> the average annual openings associated with that program (which have been de-duplicated using the process outlined in Appendix 3), the average annual completers between 201</w:t>
      </w:r>
      <w:r w:rsidR="00F43F4A">
        <w:t>1</w:t>
      </w:r>
      <w:r>
        <w:t xml:space="preserve"> and 201</w:t>
      </w:r>
      <w:r w:rsidR="00F43F4A">
        <w:t>3</w:t>
      </w:r>
      <w:r w:rsidR="008F1B49">
        <w:t>,</w:t>
      </w:r>
      <w:r w:rsidR="003D45D3">
        <w:rPr>
          <w:rStyle w:val="FootnoteReference"/>
        </w:rPr>
        <w:footnoteReference w:id="7"/>
      </w:r>
      <w:r>
        <w:t xml:space="preserve"> and finally the gap or surplus figure. </w:t>
      </w:r>
      <w:r w:rsidRPr="007222A4">
        <w:t xml:space="preserve">If the numbers are </w:t>
      </w:r>
      <w:r>
        <w:t>positive</w:t>
      </w:r>
      <w:r w:rsidRPr="007222A4">
        <w:t>, there is a shortage or “gap” of completers</w:t>
      </w:r>
      <w:r>
        <w:t>—</w:t>
      </w:r>
      <w:r w:rsidRPr="007222A4">
        <w:t>i.e., there are more job openings in those occupations than ther</w:t>
      </w:r>
      <w:r>
        <w:t>e are graduates or completers. If the numbers are negative</w:t>
      </w:r>
      <w:r w:rsidRPr="007222A4">
        <w:t xml:space="preserve">, </w:t>
      </w:r>
      <w:r w:rsidR="008E0427" w:rsidRPr="007222A4">
        <w:t>th</w:t>
      </w:r>
      <w:r w:rsidR="008E0427">
        <w:t>e</w:t>
      </w:r>
      <w:r w:rsidR="008E0427" w:rsidRPr="007222A4">
        <w:t xml:space="preserve">n there </w:t>
      </w:r>
      <w:r w:rsidR="008E0427">
        <w:t xml:space="preserve">are fewer annual job openings compared to the </w:t>
      </w:r>
      <w:r w:rsidR="008E0427" w:rsidRPr="007222A4">
        <w:t xml:space="preserve">“surplus” of completers for those program groups. </w:t>
      </w:r>
      <w:r w:rsidR="00B608C9">
        <w:t>The median hourly wage rate for related occupations is included. Due to data limitations, the wages are aggregated for all education levels.</w:t>
      </w:r>
    </w:p>
    <w:p w14:paraId="2F301FBA" w14:textId="77777777" w:rsidR="00641562" w:rsidRDefault="00641562" w:rsidP="00641562">
      <w:pPr>
        <w:pStyle w:val="Heading2"/>
      </w:pPr>
      <w:bookmarkStart w:id="19" w:name="_Toc428785415"/>
      <w:r>
        <w:t>Interpreting Gap/Surplus Analysis Results</w:t>
      </w:r>
      <w:bookmarkEnd w:id="19"/>
    </w:p>
    <w:p w14:paraId="643DE568" w14:textId="7F74C738" w:rsidR="00641562" w:rsidRDefault="00641562" w:rsidP="00641562">
      <w:r w:rsidRPr="00E8592D">
        <w:t xml:space="preserve">The </w:t>
      </w:r>
      <w:r w:rsidRPr="00F9262A">
        <w:t>gap analysis</w:t>
      </w:r>
      <w:r w:rsidRPr="00E8592D">
        <w:rPr>
          <w:i/>
        </w:rPr>
        <w:t xml:space="preserve"> </w:t>
      </w:r>
      <w:r w:rsidRPr="00E8592D">
        <w:t xml:space="preserve">is intended to serve as a point of departure for </w:t>
      </w:r>
      <w:r w:rsidR="006C38C7">
        <w:t>CCC</w:t>
      </w:r>
      <w:r w:rsidRPr="00E8592D">
        <w:t xml:space="preserve"> as the college discusses regional </w:t>
      </w:r>
      <w:r w:rsidR="006C38C7" w:rsidRPr="00E8592D">
        <w:t>workfo</w:t>
      </w:r>
      <w:r w:rsidR="006C38C7">
        <w:t>rce</w:t>
      </w:r>
      <w:r w:rsidRPr="00E8592D">
        <w:t xml:space="preserve"> needs. A surplus or deficit of workers in a particular category does not necessarily indicate a problem for the region</w:t>
      </w:r>
      <w:r w:rsidR="00E70481">
        <w:t>,</w:t>
      </w:r>
      <w:r w:rsidRPr="00E8592D">
        <w:t xml:space="preserve"> and it is important that each occupation</w:t>
      </w:r>
      <w:r>
        <w:t xml:space="preserve"> group</w:t>
      </w:r>
      <w:r w:rsidRPr="00E8592D">
        <w:t xml:space="preserve"> be </w:t>
      </w:r>
      <w:r>
        <w:t>evaluated</w:t>
      </w:r>
      <w:r w:rsidRPr="00E8592D">
        <w:t xml:space="preserve"> on a case</w:t>
      </w:r>
      <w:r>
        <w:t>-</w:t>
      </w:r>
      <w:r w:rsidRPr="00E8592D">
        <w:t>by</w:t>
      </w:r>
      <w:r>
        <w:t>-</w:t>
      </w:r>
      <w:r w:rsidRPr="00E8592D">
        <w:lastRenderedPageBreak/>
        <w:t xml:space="preserve">case basis. </w:t>
      </w:r>
      <w:r>
        <w:t>E</w:t>
      </w:r>
      <w:r w:rsidRPr="00E8592D">
        <w:t xml:space="preserve">valuation of the </w:t>
      </w:r>
      <w:r>
        <w:t>program</w:t>
      </w:r>
      <w:r w:rsidRPr="00E8592D">
        <w:t xml:space="preserve"> supply (surplus and </w:t>
      </w:r>
      <w:r>
        <w:t>gaps</w:t>
      </w:r>
      <w:r w:rsidRPr="00E8592D">
        <w:t>) will provide an understanding of the role skilled occupations play in economic sustainabilit</w:t>
      </w:r>
      <w:r>
        <w:t xml:space="preserve">y and growth. </w:t>
      </w:r>
    </w:p>
    <w:p w14:paraId="3596A185" w14:textId="7D32C737" w:rsidR="00641562" w:rsidRDefault="00641562" w:rsidP="00641562">
      <w:r w:rsidRPr="00E8592D">
        <w:t xml:space="preserve">Other information should also be considered when evaluating these surpluses and </w:t>
      </w:r>
      <w:r>
        <w:t>gap</w:t>
      </w:r>
      <w:r w:rsidRPr="00E8592D">
        <w:t>s</w:t>
      </w:r>
      <w:r>
        <w:t xml:space="preserve">. </w:t>
      </w:r>
      <w:r w:rsidRPr="00E8592D">
        <w:t>For example, only the education supply pipeline is considered in this analysis because these numbers can be tracked a</w:t>
      </w:r>
      <w:r w:rsidRPr="00235ADD">
        <w:t xml:space="preserve">t the county and school level. </w:t>
      </w:r>
      <w:r>
        <w:t xml:space="preserve">However, other </w:t>
      </w:r>
      <w:r w:rsidR="006C38C7">
        <w:t>sources</w:t>
      </w:r>
      <w:r>
        <w:t xml:space="preserve"> of supply exist as well—unemployed workers, i</w:t>
      </w:r>
      <w:r w:rsidRPr="00E8592D">
        <w:t>ndustry trained pipelines</w:t>
      </w:r>
      <w:r>
        <w:t>, in-migrators, and job changers from other occupational categories</w:t>
      </w:r>
      <w:r w:rsidRPr="00E8592D">
        <w:t xml:space="preserve"> can also be a </w:t>
      </w:r>
      <w:r w:rsidR="006C38C7" w:rsidRPr="00E8592D">
        <w:t>sou</w:t>
      </w:r>
      <w:r w:rsidR="006C38C7">
        <w:t>rce</w:t>
      </w:r>
      <w:r w:rsidRPr="00E8592D">
        <w:t xml:space="preserve"> of </w:t>
      </w:r>
      <w:r>
        <w:t>skilled</w:t>
      </w:r>
      <w:r w:rsidRPr="00E8592D">
        <w:t xml:space="preserve"> occupations</w:t>
      </w:r>
      <w:r>
        <w:t xml:space="preserve">. </w:t>
      </w:r>
      <w:r w:rsidRPr="00E8592D">
        <w:t>These types of considerations are useful when evaluating specific types of occupations</w:t>
      </w:r>
      <w:r>
        <w:t xml:space="preserve">. </w:t>
      </w:r>
      <w:r w:rsidRPr="00E8592D">
        <w:t xml:space="preserve">Unfortunately, secondary data </w:t>
      </w:r>
      <w:r w:rsidR="006C38C7" w:rsidRPr="00E8592D">
        <w:t>sou</w:t>
      </w:r>
      <w:r w:rsidR="006C38C7">
        <w:t>rce</w:t>
      </w:r>
      <w:r w:rsidR="006C38C7" w:rsidRPr="00E8592D">
        <w:t>s</w:t>
      </w:r>
      <w:r w:rsidRPr="00E8592D">
        <w:t xml:space="preserve"> (e.g.</w:t>
      </w:r>
      <w:r>
        <w:t>,</w:t>
      </w:r>
      <w:r w:rsidRPr="00E8592D">
        <w:t xml:space="preserve"> regional, state</w:t>
      </w:r>
      <w:r>
        <w:t>,</w:t>
      </w:r>
      <w:r w:rsidRPr="00E8592D">
        <w:t xml:space="preserve"> and federal data) do not </w:t>
      </w:r>
      <w:r w:rsidR="00095A90">
        <w:t>a</w:t>
      </w:r>
      <w:r w:rsidR="005715BC">
        <w:t>ccount</w:t>
      </w:r>
      <w:r w:rsidRPr="00E8592D">
        <w:t xml:space="preserve"> for this</w:t>
      </w:r>
      <w:r>
        <w:t>,</w:t>
      </w:r>
      <w:r w:rsidRPr="00E8592D">
        <w:t xml:space="preserve"> and primary data collection methods (i.e.</w:t>
      </w:r>
      <w:r>
        <w:t>,</w:t>
      </w:r>
      <w:r w:rsidRPr="00E8592D">
        <w:t xml:space="preserve"> interviews and surveys) are among the only ways to obtain information on this type of supply pipeline.</w:t>
      </w:r>
    </w:p>
    <w:p w14:paraId="6EBF43E1" w14:textId="723D1751" w:rsidR="00641562" w:rsidRPr="00A07097" w:rsidRDefault="00641562" w:rsidP="00641562">
      <w:r w:rsidRPr="00A07097">
        <w:t xml:space="preserve">Lastly, it is important to keep in mind that the labor market is not so simple </w:t>
      </w:r>
      <w:r w:rsidR="00E70481">
        <w:t>or</w:t>
      </w:r>
      <w:r w:rsidR="00E70481" w:rsidRPr="00A07097">
        <w:t xml:space="preserve"> </w:t>
      </w:r>
      <w:r w:rsidR="00E70481">
        <w:t>efficient</w:t>
      </w:r>
      <w:r w:rsidR="00E70481" w:rsidRPr="00A07097">
        <w:t xml:space="preserve"> </w:t>
      </w:r>
      <w:r w:rsidRPr="00A07097">
        <w:t xml:space="preserve">that one could expect supply and demand to be at perfect equilibrium for any extended period of time. As such, as a general rule of thumb, only programs with considerable gaps or surpluses should be considered long-term strategic issues worthy of closer examination. </w:t>
      </w:r>
      <w:r>
        <w:t xml:space="preserve">Given the </w:t>
      </w:r>
      <w:r w:rsidRPr="00A07097">
        <w:t>size and characteristics</w:t>
      </w:r>
      <w:r>
        <w:t xml:space="preserve"> of the </w:t>
      </w:r>
      <w:r w:rsidR="006C38C7">
        <w:t>CCC</w:t>
      </w:r>
      <w:r>
        <w:t xml:space="preserve"> </w:t>
      </w:r>
      <w:r w:rsidR="00B101E7">
        <w:t>Economic Region</w:t>
      </w:r>
      <w:r w:rsidRPr="00A07097">
        <w:t xml:space="preserve">, any gap or surplus </w:t>
      </w:r>
      <w:r w:rsidR="00BF4480">
        <w:t>within</w:t>
      </w:r>
      <w:r w:rsidRPr="00A07097">
        <w:t xml:space="preserve"> </w:t>
      </w:r>
      <w:r w:rsidR="00F363BE">
        <w:t>20</w:t>
      </w:r>
      <w:r w:rsidRPr="00A07097">
        <w:t xml:space="preserve"> jobs either above or below zero should be considered within the normal rang</w:t>
      </w:r>
      <w:r w:rsidR="008F1B49">
        <w:t>e of labor market fluctuations.</w:t>
      </w:r>
    </w:p>
    <w:p w14:paraId="3A9C0367" w14:textId="77777777" w:rsidR="00641562" w:rsidRDefault="00641562" w:rsidP="00641562">
      <w:r>
        <w:t>Once evaluated internally within the college, specific implications should be considered for programs with substantial surpluses or gaps. These implications include:</w:t>
      </w:r>
    </w:p>
    <w:p w14:paraId="0E3B5938" w14:textId="58B355AC" w:rsidR="00641562" w:rsidRDefault="00641562" w:rsidP="00641562">
      <w:pPr>
        <w:pStyle w:val="ListParagraph"/>
        <w:numPr>
          <w:ilvl w:val="0"/>
          <w:numId w:val="11"/>
        </w:numPr>
      </w:pPr>
      <w:r w:rsidRPr="004A4F48">
        <w:rPr>
          <w:b/>
        </w:rPr>
        <w:t>Surplus:</w:t>
      </w:r>
      <w:r w:rsidRPr="00F9262A">
        <w:t xml:space="preserve"> Oversupply of specific education completers may lead to higher attrition rates (i.e.</w:t>
      </w:r>
      <w:r>
        <w:t>,</w:t>
      </w:r>
      <w:r w:rsidRPr="00F9262A">
        <w:t xml:space="preserve"> brain drain)</w:t>
      </w:r>
      <w:r>
        <w:t xml:space="preserve">. </w:t>
      </w:r>
      <w:r w:rsidRPr="00F9262A">
        <w:t xml:space="preserve">In other words, the region is educating a </w:t>
      </w:r>
      <w:r w:rsidR="006C38C7" w:rsidRPr="00F9262A">
        <w:t>workfo</w:t>
      </w:r>
      <w:r w:rsidR="006C38C7">
        <w:t>rce</w:t>
      </w:r>
      <w:r w:rsidRPr="00F9262A">
        <w:t xml:space="preserve"> that is leaving after program completion because of a lack of jobs.</w:t>
      </w:r>
      <w:r>
        <w:t xml:space="preserve"> Note: In the analysis of the </w:t>
      </w:r>
      <w:r w:rsidR="006C38C7">
        <w:t>CCC</w:t>
      </w:r>
      <w:r>
        <w:t xml:space="preserve"> </w:t>
      </w:r>
      <w:r w:rsidR="00B101E7">
        <w:t>Economic Region</w:t>
      </w:r>
      <w:r>
        <w:t xml:space="preserve"> where the neighboring population density </w:t>
      </w:r>
      <w:r w:rsidR="00B608C9">
        <w:t>is high in neighboring areas</w:t>
      </w:r>
      <w:r>
        <w:t xml:space="preserve">, a surplus of completers may indicate the need for </w:t>
      </w:r>
      <w:r w:rsidR="00B101E7">
        <w:t>Economic Region</w:t>
      </w:r>
      <w:r>
        <w:t xml:space="preserve"> residents to commute outside of the </w:t>
      </w:r>
      <w:r w:rsidR="00B101E7">
        <w:t>Economic Region</w:t>
      </w:r>
      <w:r>
        <w:t xml:space="preserve"> to find job opportunities. The commuting pattern flows described in Chapter 1 suggest that this is possible. </w:t>
      </w:r>
    </w:p>
    <w:p w14:paraId="15DA61CF" w14:textId="3C93F0DE" w:rsidR="00641562" w:rsidRDefault="00641562" w:rsidP="00641562">
      <w:pPr>
        <w:pStyle w:val="ListParagraph"/>
        <w:numPr>
          <w:ilvl w:val="0"/>
          <w:numId w:val="11"/>
        </w:numPr>
      </w:pPr>
      <w:r w:rsidRPr="004A4F48">
        <w:rPr>
          <w:b/>
        </w:rPr>
        <w:lastRenderedPageBreak/>
        <w:t>Gap</w:t>
      </w:r>
      <w:r w:rsidRPr="00997E99">
        <w:t xml:space="preserve">: Undersupply of specific program completers may lead to missed opportunities for economic growth and put stress on local businesses to find necessary human capital elsewhere. In other words, the region’s education institutions are not providing the necessary </w:t>
      </w:r>
      <w:r w:rsidR="006C38C7" w:rsidRPr="00997E99">
        <w:t>workfo</w:t>
      </w:r>
      <w:r w:rsidR="006C38C7">
        <w:t>rce</w:t>
      </w:r>
      <w:r w:rsidRPr="00997E99">
        <w:t xml:space="preserve"> for the region</w:t>
      </w:r>
      <w:r w:rsidR="007A6CDF">
        <w:t>,</w:t>
      </w:r>
      <w:r w:rsidRPr="00997E99">
        <w:t xml:space="preserve"> thereby shifting the burden on the industries to find workers in other economies to fill the needed occupations. This translates into higher human </w:t>
      </w:r>
      <w:r w:rsidR="006C38C7" w:rsidRPr="00997E99">
        <w:t>resou</w:t>
      </w:r>
      <w:r w:rsidR="006C38C7">
        <w:t>rce</w:t>
      </w:r>
      <w:r w:rsidR="006C38C7" w:rsidRPr="00997E99">
        <w:t>s</w:t>
      </w:r>
      <w:r w:rsidRPr="00997E99">
        <w:t xml:space="preserve"> costs and decreased efficiencies in the economic system. This also provides an opportunity for institutions to develop new programs. Note: Given population density in the </w:t>
      </w:r>
      <w:r w:rsidR="00DD7BCB">
        <w:t>areas bordering</w:t>
      </w:r>
      <w:r w:rsidRPr="00997E99">
        <w:t xml:space="preserve"> the </w:t>
      </w:r>
      <w:r w:rsidR="00B101E7">
        <w:t>Economic Region</w:t>
      </w:r>
      <w:r w:rsidRPr="00997E99">
        <w:t xml:space="preserve">, a completion gap may be filled by other institutions </w:t>
      </w:r>
      <w:r w:rsidR="003F019E">
        <w:t>near</w:t>
      </w:r>
      <w:r w:rsidRPr="00997E99">
        <w:t xml:space="preserve"> the </w:t>
      </w:r>
      <w:r w:rsidR="00B101E7">
        <w:t>Economic Region</w:t>
      </w:r>
      <w:r w:rsidRPr="00997E99">
        <w:t xml:space="preserve">. This potential scenario will need to be taken into consideration from the leadership. </w:t>
      </w:r>
    </w:p>
    <w:p w14:paraId="2CCBC8C0" w14:textId="77777777" w:rsidR="00435C03" w:rsidRDefault="00435C03">
      <w:pPr>
        <w:spacing w:before="0" w:after="200" w:line="276" w:lineRule="auto"/>
        <w:jc w:val="left"/>
        <w:rPr>
          <w:rFonts w:ascii="Arial" w:hAnsi="Arial" w:cs="Arial"/>
          <w:b/>
          <w:bCs/>
          <w:iCs/>
          <w:sz w:val="30"/>
          <w:szCs w:val="30"/>
        </w:rPr>
      </w:pPr>
      <w:r>
        <w:br w:type="page"/>
      </w:r>
    </w:p>
    <w:p w14:paraId="75E6F8F8" w14:textId="013D6EAE" w:rsidR="00641562" w:rsidRPr="0072192A" w:rsidRDefault="00641562" w:rsidP="00641562">
      <w:pPr>
        <w:pStyle w:val="Heading2"/>
      </w:pPr>
      <w:bookmarkStart w:id="20" w:name="_Toc428785416"/>
      <w:r>
        <w:lastRenderedPageBreak/>
        <w:t>Postsecondary Certificate Level Gap Analysis</w:t>
      </w:r>
      <w:bookmarkEnd w:id="20"/>
    </w:p>
    <w:p w14:paraId="38EA39D4" w14:textId="6E49E895" w:rsidR="00641562" w:rsidRPr="000F1701" w:rsidRDefault="00641562" w:rsidP="00641562">
      <w:r w:rsidRPr="00E74359">
        <w:t xml:space="preserve">Figure </w:t>
      </w:r>
      <w:r w:rsidR="005F4E2C" w:rsidRPr="00E74359">
        <w:t>2.1</w:t>
      </w:r>
      <w:r w:rsidRPr="00E74359">
        <w:t xml:space="preserve"> provides a</w:t>
      </w:r>
      <w:r w:rsidR="00E70481" w:rsidRPr="00E74359">
        <w:t>n</w:t>
      </w:r>
      <w:r w:rsidRPr="00E74359">
        <w:t xml:space="preserve"> illustration that summarizes the top </w:t>
      </w:r>
      <w:r w:rsidR="00D34A24">
        <w:t>gap</w:t>
      </w:r>
      <w:r w:rsidR="00D844F8">
        <w:t>s</w:t>
      </w:r>
      <w:r w:rsidRPr="00E74359">
        <w:t xml:space="preserve"> for </w:t>
      </w:r>
      <w:r w:rsidR="006C38C7">
        <w:t>CCC</w:t>
      </w:r>
      <w:r w:rsidRPr="00E74359">
        <w:t xml:space="preserve"> postsecondary certificate level programs.</w:t>
      </w:r>
      <w:r>
        <w:t xml:space="preserve"> </w:t>
      </w:r>
      <w:r w:rsidR="00764D60">
        <w:t xml:space="preserve">There were a total of </w:t>
      </w:r>
      <w:r w:rsidR="002C6D94">
        <w:t>seven</w:t>
      </w:r>
      <w:r w:rsidR="00764D60">
        <w:t xml:space="preserve"> gaps identified at this education level.</w:t>
      </w:r>
    </w:p>
    <w:p w14:paraId="3E53F8E7" w14:textId="72C23C90" w:rsidR="00641562" w:rsidRDefault="005F4E2C" w:rsidP="00641562">
      <w:pPr>
        <w:pStyle w:val="FigureTitle"/>
      </w:pPr>
      <w:r>
        <w:t>Figure 2.</w:t>
      </w:r>
      <w:r w:rsidR="00641562">
        <w:t>1</w:t>
      </w:r>
      <w:r w:rsidR="00641562" w:rsidRPr="007C1DA3">
        <w:t xml:space="preserve">: Supply and Demand for </w:t>
      </w:r>
      <w:r w:rsidR="006C38C7">
        <w:t>CCC</w:t>
      </w:r>
      <w:r w:rsidR="00641562" w:rsidRPr="007C1DA3">
        <w:t xml:space="preserve"> </w:t>
      </w:r>
      <w:r w:rsidR="00641562">
        <w:t>Postsecondary</w:t>
      </w:r>
      <w:r w:rsidR="00641562" w:rsidRPr="007C1DA3">
        <w:t xml:space="preserve"> Certificate Level Programs</w:t>
      </w:r>
    </w:p>
    <w:p w14:paraId="3680802C" w14:textId="3D844140" w:rsidR="00641562" w:rsidRDefault="002C6D94" w:rsidP="00641562">
      <w:pPr>
        <w:rPr>
          <w:rFonts w:asciiTheme="minorHAnsi" w:hAnsiTheme="minorHAnsi"/>
          <w:b/>
          <w:bCs/>
          <w:sz w:val="20"/>
          <w:szCs w:val="20"/>
        </w:rPr>
      </w:pPr>
      <w:r>
        <w:rPr>
          <w:noProof/>
        </w:rPr>
        <w:drawing>
          <wp:inline distT="0" distB="0" distL="0" distR="0" wp14:anchorId="15C81150" wp14:editId="79B73D57">
            <wp:extent cx="5943600" cy="2992120"/>
            <wp:effectExtent l="0" t="0" r="19050" b="177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C1F20B" w14:textId="2003F98F" w:rsidR="00641562" w:rsidRDefault="00641562" w:rsidP="00641562">
      <w:r w:rsidRPr="00BB68E4">
        <w:t xml:space="preserve">Table </w:t>
      </w:r>
      <w:r w:rsidR="005F4E2C">
        <w:t>2.1</w:t>
      </w:r>
      <w:r w:rsidRPr="00BB68E4">
        <w:t xml:space="preserve"> </w:t>
      </w:r>
      <w:r>
        <w:t xml:space="preserve">lists supply and demand for all certificate program types for which </w:t>
      </w:r>
      <w:r w:rsidR="006C38C7">
        <w:t>CCC</w:t>
      </w:r>
      <w:r>
        <w:t xml:space="preserve"> offers a training program. While</w:t>
      </w:r>
      <w:r w:rsidRPr="00BB68E4">
        <w:t xml:space="preserve"> other program groups in the region </w:t>
      </w:r>
      <w:r>
        <w:t xml:space="preserve">may face larger surpluses, </w:t>
      </w:r>
      <w:r w:rsidR="006C38C7">
        <w:t>CCC</w:t>
      </w:r>
      <w:r w:rsidRPr="00BB68E4">
        <w:t xml:space="preserve"> did not offer any of the programs. </w:t>
      </w:r>
      <w:r w:rsidR="005D2A80">
        <w:t>Table 2.</w:t>
      </w:r>
      <w:r w:rsidR="005D2A80" w:rsidRPr="00A513E6">
        <w:t xml:space="preserve">3 </w:t>
      </w:r>
      <w:r w:rsidR="005D2A80">
        <w:t xml:space="preserve">addresses programs that are not currently being offered but which would address considerable regional </w:t>
      </w:r>
      <w:r w:rsidR="006C38C7">
        <w:t>workforce</w:t>
      </w:r>
      <w:r w:rsidR="005D2A80">
        <w:t xml:space="preserve"> gaps</w:t>
      </w:r>
      <w:r w:rsidR="0066432D">
        <w:t>.</w:t>
      </w:r>
      <w:r w:rsidR="005D2A80">
        <w:t xml:space="preserve"> </w:t>
      </w:r>
      <w:r w:rsidR="00B043C3">
        <w:t>At the certificate level</w:t>
      </w:r>
      <w:r w:rsidR="00EE03F6">
        <w:t>,</w:t>
      </w:r>
      <w:r w:rsidR="004124D8">
        <w:t xml:space="preserve"> </w:t>
      </w:r>
      <w:r w:rsidR="006C38C7">
        <w:t>CCC</w:t>
      </w:r>
      <w:r w:rsidR="004124D8">
        <w:t xml:space="preserve"> is </w:t>
      </w:r>
      <w:r w:rsidR="00764D60">
        <w:t xml:space="preserve">only one of </w:t>
      </w:r>
      <w:r w:rsidR="00A63FB5">
        <w:t>many</w:t>
      </w:r>
      <w:r w:rsidR="003309B1">
        <w:t xml:space="preserve"> institution</w:t>
      </w:r>
      <w:r w:rsidR="00764D60">
        <w:t>s</w:t>
      </w:r>
      <w:r w:rsidR="004124D8">
        <w:t xml:space="preserve"> offering programs</w:t>
      </w:r>
      <w:r w:rsidR="004F01A7" w:rsidRPr="004F01A7">
        <w:t xml:space="preserve"> </w:t>
      </w:r>
      <w:r w:rsidR="004F01A7" w:rsidRPr="0090761C">
        <w:t xml:space="preserve">and as such, their completers comprise </w:t>
      </w:r>
      <w:r w:rsidR="00E43396">
        <w:t>11</w:t>
      </w:r>
      <w:r w:rsidR="004F01A7" w:rsidRPr="0090761C">
        <w:t>% of total regional supply.</w:t>
      </w:r>
    </w:p>
    <w:p w14:paraId="0C9BE99D" w14:textId="6A0D2B21" w:rsidR="002D68DA" w:rsidRDefault="00641562" w:rsidP="00641562">
      <w:r w:rsidRPr="002D68DA">
        <w:t xml:space="preserve">As shown in Table </w:t>
      </w:r>
      <w:r w:rsidR="005F4E2C" w:rsidRPr="002D68DA">
        <w:t>2.</w:t>
      </w:r>
      <w:r w:rsidRPr="002D68DA">
        <w:t>1</w:t>
      </w:r>
      <w:r w:rsidR="005E1AC2" w:rsidRPr="002D68DA">
        <w:t>,</w:t>
      </w:r>
      <w:r w:rsidR="00970DA0" w:rsidRPr="002D68DA">
        <w:t xml:space="preserve"> </w:t>
      </w:r>
      <w:r w:rsidR="002C6D94">
        <w:t>General Office Occupations &amp; Clerical Services</w:t>
      </w:r>
      <w:r w:rsidR="00764D60">
        <w:t xml:space="preserve"> has the largest gap</w:t>
      </w:r>
      <w:r w:rsidR="00C3609A">
        <w:t xml:space="preserve">. </w:t>
      </w:r>
      <w:r w:rsidR="00764D60">
        <w:t xml:space="preserve">There are </w:t>
      </w:r>
      <w:r w:rsidR="002C6D94">
        <w:t>725</w:t>
      </w:r>
      <w:r w:rsidR="00F242B3">
        <w:t xml:space="preserve"> annual openings but only </w:t>
      </w:r>
      <w:r w:rsidR="002C6D94">
        <w:t>80</w:t>
      </w:r>
      <w:r w:rsidR="00F242B3">
        <w:t xml:space="preserve"> average annual completers (</w:t>
      </w:r>
      <w:r w:rsidR="002C6D94">
        <w:t>11</w:t>
      </w:r>
      <w:r w:rsidR="00F242B3">
        <w:t xml:space="preserve"> from </w:t>
      </w:r>
      <w:r w:rsidR="006C38C7">
        <w:t>CCC</w:t>
      </w:r>
      <w:r w:rsidR="00F242B3">
        <w:t xml:space="preserve">). </w:t>
      </w:r>
      <w:r w:rsidR="002C6D94">
        <w:t>Accounting</w:t>
      </w:r>
      <w:r w:rsidR="00853318">
        <w:t xml:space="preserve"> (gap of </w:t>
      </w:r>
      <w:r w:rsidR="002C6D94">
        <w:t>110</w:t>
      </w:r>
      <w:r w:rsidR="00853318">
        <w:t>; median hourly wage $1</w:t>
      </w:r>
      <w:r w:rsidR="002C6D94">
        <w:t>6.67</w:t>
      </w:r>
      <w:r w:rsidR="00853318">
        <w:t xml:space="preserve">) and </w:t>
      </w:r>
      <w:r w:rsidR="002C6D94">
        <w:t>Child Development/Early Care &amp; Education</w:t>
      </w:r>
      <w:r w:rsidR="00853318" w:rsidRPr="002D68DA">
        <w:t xml:space="preserve"> </w:t>
      </w:r>
      <w:r w:rsidR="00853318">
        <w:t xml:space="preserve">(gap of </w:t>
      </w:r>
      <w:r w:rsidR="002C6D94">
        <w:t>90</w:t>
      </w:r>
      <w:r w:rsidR="00853318">
        <w:t>; median hourly wage $</w:t>
      </w:r>
      <w:r w:rsidR="002C6D94">
        <w:t>9.90</w:t>
      </w:r>
      <w:r w:rsidR="00853318">
        <w:t xml:space="preserve">) are the second and third largest gaps. </w:t>
      </w:r>
      <w:r w:rsidR="00A35525" w:rsidRPr="002D68DA">
        <w:t>I</w:t>
      </w:r>
      <w:r w:rsidRPr="002D68DA">
        <w:t xml:space="preserve">t is important to </w:t>
      </w:r>
      <w:r w:rsidR="007A6CDF">
        <w:t>keep wages in mind</w:t>
      </w:r>
      <w:r w:rsidR="007A6CDF" w:rsidRPr="002D68DA">
        <w:t xml:space="preserve"> </w:t>
      </w:r>
      <w:r w:rsidRPr="002D68DA">
        <w:t xml:space="preserve">when reviewing the gap analysis. In the instance of the </w:t>
      </w:r>
      <w:r w:rsidR="006F3465">
        <w:t>Child Development/Early Care &amp; Education</w:t>
      </w:r>
      <w:r w:rsidRPr="002D68DA">
        <w:t xml:space="preserve">, there may be </w:t>
      </w:r>
      <w:r w:rsidR="00716B60">
        <w:t xml:space="preserve">a </w:t>
      </w:r>
      <w:r w:rsidR="00F242B3">
        <w:t>large</w:t>
      </w:r>
      <w:r w:rsidRPr="002D68DA">
        <w:t xml:space="preserve"> gap, but because </w:t>
      </w:r>
      <w:r w:rsidR="003768ED" w:rsidRPr="002D68DA">
        <w:t xml:space="preserve">the </w:t>
      </w:r>
      <w:r w:rsidR="00384961" w:rsidRPr="002D68DA">
        <w:t xml:space="preserve">wages of </w:t>
      </w:r>
      <w:r w:rsidR="00DC2424" w:rsidRPr="002D68DA">
        <w:t xml:space="preserve">occupations associated with </w:t>
      </w:r>
      <w:r w:rsidR="00EA235E">
        <w:t>th</w:t>
      </w:r>
      <w:r w:rsidR="00716B60">
        <w:t>is</w:t>
      </w:r>
      <w:r w:rsidR="00F242B3">
        <w:t xml:space="preserve"> </w:t>
      </w:r>
      <w:r w:rsidR="003768ED" w:rsidRPr="002D68DA">
        <w:t>program</w:t>
      </w:r>
      <w:r w:rsidR="00716B60">
        <w:t xml:space="preserve"> </w:t>
      </w:r>
      <w:r w:rsidR="002C5EAD">
        <w:t>are</w:t>
      </w:r>
      <w:r w:rsidR="002C5EAD" w:rsidRPr="002D68DA">
        <w:t xml:space="preserve"> </w:t>
      </w:r>
      <w:r w:rsidR="003768ED" w:rsidRPr="002D68DA">
        <w:t>low</w:t>
      </w:r>
      <w:r w:rsidRPr="002D68DA">
        <w:t xml:space="preserve">, </w:t>
      </w:r>
      <w:r w:rsidR="002D68DA" w:rsidRPr="002D68DA">
        <w:t xml:space="preserve">the returns to education </w:t>
      </w:r>
      <w:r w:rsidR="0042709D" w:rsidRPr="002D68DA">
        <w:t xml:space="preserve">may not be </w:t>
      </w:r>
      <w:r w:rsidR="00BF211F" w:rsidRPr="002D68DA">
        <w:t>justified</w:t>
      </w:r>
      <w:r w:rsidR="002D68DA" w:rsidRPr="002D68DA">
        <w:t>, and by extension, expanding the program may not be warranted</w:t>
      </w:r>
      <w:r w:rsidRPr="002D68DA">
        <w:t>.</w:t>
      </w:r>
    </w:p>
    <w:p w14:paraId="28AB5F6E" w14:textId="45208D6A" w:rsidR="00D87719" w:rsidRDefault="00D87719" w:rsidP="00D87719">
      <w:r w:rsidRPr="00091C1D">
        <w:lastRenderedPageBreak/>
        <w:t xml:space="preserve">There are often some programs preparing students for fields where they </w:t>
      </w:r>
      <w:r>
        <w:t>may</w:t>
      </w:r>
      <w:r w:rsidRPr="00091C1D">
        <w:t xml:space="preserve"> compete with many other </w:t>
      </w:r>
      <w:r>
        <w:t>graduates</w:t>
      </w:r>
      <w:r w:rsidRPr="00091C1D">
        <w:t xml:space="preserve">. </w:t>
      </w:r>
      <w:r w:rsidRPr="00606C60">
        <w:t xml:space="preserve">There are </w:t>
      </w:r>
      <w:r w:rsidR="008549A3">
        <w:t>12</w:t>
      </w:r>
      <w:r w:rsidRPr="00606C60">
        <w:t xml:space="preserve"> programs at </w:t>
      </w:r>
      <w:r w:rsidR="006C38C7">
        <w:t>CCC</w:t>
      </w:r>
      <w:r w:rsidRPr="00606C60">
        <w:t xml:space="preserve"> that are training for occupations with a </w:t>
      </w:r>
      <w:r>
        <w:t xml:space="preserve">significant </w:t>
      </w:r>
      <w:r w:rsidRPr="00606C60">
        <w:t xml:space="preserve">surplus of workers. </w:t>
      </w:r>
      <w:r w:rsidR="008549A3">
        <w:t xml:space="preserve">Licensed Vocational Nursing </w:t>
      </w:r>
      <w:r w:rsidRPr="00606C60">
        <w:t xml:space="preserve">has </w:t>
      </w:r>
      <w:r w:rsidR="0000635C">
        <w:t>the top</w:t>
      </w:r>
      <w:r w:rsidRPr="00606C60">
        <w:t xml:space="preserve"> surplus of </w:t>
      </w:r>
      <w:r w:rsidR="008549A3">
        <w:t>182</w:t>
      </w:r>
      <w:r>
        <w:t xml:space="preserve">. Although </w:t>
      </w:r>
      <w:r w:rsidR="006C38C7">
        <w:t>CCC</w:t>
      </w:r>
      <w:r>
        <w:t xml:space="preserve"> produces </w:t>
      </w:r>
      <w:r w:rsidR="008549A3">
        <w:t>64</w:t>
      </w:r>
      <w:r>
        <w:t xml:space="preserve"> completer a year for the </w:t>
      </w:r>
      <w:r w:rsidR="008549A3">
        <w:t>37</w:t>
      </w:r>
      <w:r>
        <w:t xml:space="preserve"> annual openings, other regio</w:t>
      </w:r>
      <w:r w:rsidR="008549A3">
        <w:t>nal institutions add another 156</w:t>
      </w:r>
      <w:r>
        <w:t xml:space="preserve"> completers a year, resulting in the large surplus. </w:t>
      </w:r>
      <w:r w:rsidR="0000635C">
        <w:t>Dental Assistant</w:t>
      </w:r>
      <w:r>
        <w:t xml:space="preserve"> is </w:t>
      </w:r>
      <w:r w:rsidR="0000635C">
        <w:t>tied for the largest</w:t>
      </w:r>
      <w:r>
        <w:t xml:space="preserve"> surplus </w:t>
      </w:r>
      <w:r w:rsidR="0000635C">
        <w:t xml:space="preserve">of </w:t>
      </w:r>
      <w:r>
        <w:t>1</w:t>
      </w:r>
      <w:r w:rsidR="0000635C">
        <w:t>82</w:t>
      </w:r>
      <w:r>
        <w:t xml:space="preserve"> completers; followed by </w:t>
      </w:r>
      <w:r w:rsidR="0000635C">
        <w:t>Child Development/Early Care &amp; Education</w:t>
      </w:r>
      <w:r>
        <w:t xml:space="preserve"> (</w:t>
      </w:r>
      <w:r w:rsidR="0000635C">
        <w:t>surplus of 11</w:t>
      </w:r>
      <w:r>
        <w:t>4)</w:t>
      </w:r>
      <w:r w:rsidRPr="00606C60">
        <w:t xml:space="preserve">. It is likely that the additional annual openings in areas outside of the </w:t>
      </w:r>
      <w:r w:rsidR="006C38C7">
        <w:t>CCC</w:t>
      </w:r>
      <w:r w:rsidRPr="00606C60">
        <w:t xml:space="preserve"> </w:t>
      </w:r>
      <w:r w:rsidR="00B101E7">
        <w:t>Economic Region</w:t>
      </w:r>
      <w:r w:rsidRPr="00606C60">
        <w:t xml:space="preserve"> are being filled by </w:t>
      </w:r>
      <w:r w:rsidR="006C38C7">
        <w:t>CCC</w:t>
      </w:r>
      <w:r w:rsidRPr="00606C60">
        <w:t xml:space="preserve"> completers. A review of placement rates could provide additional information.</w:t>
      </w:r>
    </w:p>
    <w:p w14:paraId="7FB49D46" w14:textId="3C11325F" w:rsidR="00641562" w:rsidRDefault="00641562" w:rsidP="00DC2424">
      <w:pPr>
        <w:pStyle w:val="Tabletitle"/>
        <w:widowControl w:val="0"/>
      </w:pPr>
      <w:r>
        <w:t xml:space="preserve">Table </w:t>
      </w:r>
      <w:r w:rsidR="005F4E2C">
        <w:t>2.</w:t>
      </w:r>
      <w:r>
        <w:t>1</w:t>
      </w:r>
      <w:r w:rsidRPr="007C1DA3">
        <w:t xml:space="preserve">: Supply and Demand for </w:t>
      </w:r>
      <w:r w:rsidR="006C38C7">
        <w:t>CCC</w:t>
      </w:r>
      <w:r>
        <w:t xml:space="preserve"> C</w:t>
      </w:r>
      <w:r w:rsidRPr="007C1DA3">
        <w:t>ertificate Level Programs</w:t>
      </w:r>
    </w:p>
    <w:tbl>
      <w:tblPr>
        <w:tblStyle w:val="MediumShading1-Accent1"/>
        <w:tblW w:w="0" w:type="auto"/>
        <w:tblBorders>
          <w:bottom w:val="none" w:sz="0" w:space="0" w:color="auto"/>
          <w:insideV w:val="single" w:sz="8" w:space="0" w:color="7BA0CD" w:themeColor="accent1" w:themeTint="BF"/>
        </w:tblBorders>
        <w:tblLayout w:type="fixed"/>
        <w:tblLook w:val="04A0" w:firstRow="1" w:lastRow="0" w:firstColumn="1" w:lastColumn="0" w:noHBand="0" w:noVBand="1"/>
      </w:tblPr>
      <w:tblGrid>
        <w:gridCol w:w="918"/>
        <w:gridCol w:w="2970"/>
        <w:gridCol w:w="1080"/>
        <w:gridCol w:w="1260"/>
        <w:gridCol w:w="1350"/>
        <w:gridCol w:w="900"/>
        <w:gridCol w:w="1098"/>
      </w:tblGrid>
      <w:tr w:rsidR="000440A5" w:rsidRPr="003B7F14" w14:paraId="15245FCD" w14:textId="77777777" w:rsidTr="00A5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top w:val="none" w:sz="0" w:space="0" w:color="auto"/>
              <w:left w:val="none" w:sz="0" w:space="0" w:color="auto"/>
              <w:right w:val="none" w:sz="0" w:space="0" w:color="auto"/>
            </w:tcBorders>
            <w:vAlign w:val="center"/>
            <w:hideMark/>
          </w:tcPr>
          <w:p w14:paraId="0919AC0B" w14:textId="308859C7" w:rsidR="000440A5" w:rsidRPr="00526408" w:rsidRDefault="00052DD2" w:rsidP="00FA29A0">
            <w:pPr>
              <w:pStyle w:val="Tableheaderleft"/>
              <w:keepNext w:val="0"/>
              <w:widowControl w:val="0"/>
              <w:jc w:val="center"/>
              <w:rPr>
                <w:b/>
              </w:rPr>
            </w:pPr>
            <w:r>
              <w:rPr>
                <w:b/>
              </w:rPr>
              <w:t>TOP</w:t>
            </w:r>
            <w:r w:rsidR="000440A5">
              <w:rPr>
                <w:b/>
              </w:rPr>
              <w:t xml:space="preserve"> Code</w:t>
            </w:r>
          </w:p>
        </w:tc>
        <w:tc>
          <w:tcPr>
            <w:tcW w:w="2970" w:type="dxa"/>
            <w:tcBorders>
              <w:top w:val="none" w:sz="0" w:space="0" w:color="auto"/>
              <w:left w:val="none" w:sz="0" w:space="0" w:color="auto"/>
              <w:right w:val="none" w:sz="0" w:space="0" w:color="auto"/>
            </w:tcBorders>
            <w:vAlign w:val="center"/>
            <w:hideMark/>
          </w:tcPr>
          <w:p w14:paraId="38E9E941" w14:textId="781D06B5" w:rsidR="000440A5" w:rsidRPr="00526408" w:rsidRDefault="00052DD2" w:rsidP="00FA29A0">
            <w:pPr>
              <w:pStyle w:val="Tableheadercenter"/>
              <w:keepNext w:val="0"/>
              <w:widowControl w:val="0"/>
              <w:cnfStyle w:val="100000000000" w:firstRow="1" w:lastRow="0" w:firstColumn="0" w:lastColumn="0" w:oddVBand="0" w:evenVBand="0" w:oddHBand="0" w:evenHBand="0" w:firstRowFirstColumn="0" w:firstRowLastColumn="0" w:lastRowFirstColumn="0" w:lastRowLastColumn="0"/>
              <w:rPr>
                <w:b/>
              </w:rPr>
            </w:pPr>
            <w:r>
              <w:rPr>
                <w:b/>
              </w:rPr>
              <w:t>TOP</w:t>
            </w:r>
            <w:r w:rsidR="000440A5" w:rsidRPr="00526408">
              <w:rPr>
                <w:b/>
              </w:rPr>
              <w:t xml:space="preserve"> Title</w:t>
            </w:r>
          </w:p>
        </w:tc>
        <w:tc>
          <w:tcPr>
            <w:tcW w:w="1080" w:type="dxa"/>
            <w:tcBorders>
              <w:top w:val="none" w:sz="0" w:space="0" w:color="auto"/>
              <w:left w:val="none" w:sz="0" w:space="0" w:color="auto"/>
              <w:right w:val="none" w:sz="0" w:space="0" w:color="auto"/>
            </w:tcBorders>
            <w:vAlign w:val="center"/>
            <w:hideMark/>
          </w:tcPr>
          <w:p w14:paraId="00A6327E" w14:textId="77777777" w:rsidR="000440A5" w:rsidRPr="00526408" w:rsidRDefault="000440A5" w:rsidP="00FA29A0">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sidRPr="00526408">
              <w:rPr>
                <w:b/>
              </w:rPr>
              <w:t>Average Annual Openings</w:t>
            </w:r>
          </w:p>
        </w:tc>
        <w:tc>
          <w:tcPr>
            <w:tcW w:w="1260" w:type="dxa"/>
            <w:tcBorders>
              <w:top w:val="none" w:sz="0" w:space="0" w:color="auto"/>
              <w:left w:val="none" w:sz="0" w:space="0" w:color="auto"/>
              <w:right w:val="none" w:sz="0" w:space="0" w:color="auto"/>
            </w:tcBorders>
            <w:vAlign w:val="center"/>
          </w:tcPr>
          <w:p w14:paraId="02EBB104" w14:textId="77777777" w:rsidR="000440A5" w:rsidRPr="00AA12DC" w:rsidRDefault="000440A5" w:rsidP="00FA29A0">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sidRPr="00AA12DC">
              <w:rPr>
                <w:b/>
              </w:rPr>
              <w:t>Average Annual Completers</w:t>
            </w:r>
          </w:p>
        </w:tc>
        <w:tc>
          <w:tcPr>
            <w:tcW w:w="1350" w:type="dxa"/>
            <w:tcBorders>
              <w:top w:val="none" w:sz="0" w:space="0" w:color="auto"/>
              <w:left w:val="none" w:sz="0" w:space="0" w:color="auto"/>
              <w:right w:val="none" w:sz="0" w:space="0" w:color="auto"/>
            </w:tcBorders>
            <w:vAlign w:val="center"/>
            <w:hideMark/>
          </w:tcPr>
          <w:p w14:paraId="26F2A47F" w14:textId="23B661D3" w:rsidR="000440A5" w:rsidRPr="00526408" w:rsidRDefault="000440A5" w:rsidP="000440A5">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Pr>
                <w:b/>
              </w:rPr>
              <w:t xml:space="preserve">Average Annual </w:t>
            </w:r>
            <w:r w:rsidR="006C38C7">
              <w:rPr>
                <w:b/>
              </w:rPr>
              <w:t>CCC</w:t>
            </w:r>
            <w:r w:rsidRPr="00526408">
              <w:rPr>
                <w:b/>
              </w:rPr>
              <w:t xml:space="preserve"> Completers</w:t>
            </w:r>
          </w:p>
        </w:tc>
        <w:tc>
          <w:tcPr>
            <w:tcW w:w="900" w:type="dxa"/>
            <w:tcBorders>
              <w:top w:val="none" w:sz="0" w:space="0" w:color="auto"/>
              <w:left w:val="none" w:sz="0" w:space="0" w:color="auto"/>
              <w:right w:val="none" w:sz="0" w:space="0" w:color="auto"/>
            </w:tcBorders>
            <w:vAlign w:val="center"/>
          </w:tcPr>
          <w:p w14:paraId="459D6A66" w14:textId="77777777" w:rsidR="000440A5" w:rsidRPr="00526408" w:rsidRDefault="000440A5" w:rsidP="00FA29A0">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sidRPr="00526408">
              <w:rPr>
                <w:b/>
              </w:rPr>
              <w:t>Total Gap or Surplus</w:t>
            </w:r>
          </w:p>
        </w:tc>
        <w:tc>
          <w:tcPr>
            <w:tcW w:w="1098" w:type="dxa"/>
            <w:tcBorders>
              <w:top w:val="none" w:sz="0" w:space="0" w:color="auto"/>
              <w:left w:val="none" w:sz="0" w:space="0" w:color="auto"/>
              <w:right w:val="none" w:sz="0" w:space="0" w:color="auto"/>
            </w:tcBorders>
            <w:hideMark/>
          </w:tcPr>
          <w:p w14:paraId="43079678" w14:textId="257F09F6" w:rsidR="000440A5" w:rsidRPr="00526408" w:rsidRDefault="000440A5" w:rsidP="00DD7BCB">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sidRPr="00EB1C84">
              <w:rPr>
                <w:b/>
              </w:rPr>
              <w:t>Median Hourly Wage</w:t>
            </w:r>
          </w:p>
        </w:tc>
      </w:tr>
      <w:tr w:rsidR="00062BC5" w:rsidRPr="003B7F14" w14:paraId="06C001E1"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2F7BE5A9" w14:textId="11D21660" w:rsidR="00062BC5" w:rsidRPr="005947FE" w:rsidRDefault="00062BC5" w:rsidP="00062BC5">
            <w:pPr>
              <w:pStyle w:val="Tablenormalleft"/>
              <w:keepNext w:val="0"/>
              <w:widowControl w:val="0"/>
              <w:jc w:val="left"/>
              <w:rPr>
                <w:szCs w:val="18"/>
              </w:rPr>
            </w:pPr>
            <w:r w:rsidRPr="006016DA">
              <w:t>???</w:t>
            </w:r>
          </w:p>
        </w:tc>
        <w:tc>
          <w:tcPr>
            <w:tcW w:w="2970" w:type="dxa"/>
            <w:tcBorders>
              <w:left w:val="none" w:sz="0" w:space="0" w:color="auto"/>
              <w:bottom w:val="single" w:sz="8" w:space="0" w:color="7BA0CD" w:themeColor="accent1" w:themeTint="BF"/>
              <w:right w:val="none" w:sz="0" w:space="0" w:color="auto"/>
            </w:tcBorders>
            <w:noWrap/>
            <w:vAlign w:val="center"/>
            <w:hideMark/>
          </w:tcPr>
          <w:p w14:paraId="3F2641FC" w14:textId="56719B03"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t>General Office Occupations and Clerical Services</w:t>
            </w:r>
          </w:p>
        </w:tc>
        <w:tc>
          <w:tcPr>
            <w:tcW w:w="1080" w:type="dxa"/>
            <w:tcBorders>
              <w:left w:val="none" w:sz="0" w:space="0" w:color="auto"/>
              <w:bottom w:val="single" w:sz="8" w:space="0" w:color="7BA0CD" w:themeColor="accent1" w:themeTint="BF"/>
              <w:right w:val="none" w:sz="0" w:space="0" w:color="auto"/>
            </w:tcBorders>
            <w:noWrap/>
            <w:vAlign w:val="center"/>
            <w:hideMark/>
          </w:tcPr>
          <w:p w14:paraId="39BE463A" w14:textId="247E204D"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725</w:t>
            </w:r>
          </w:p>
        </w:tc>
        <w:tc>
          <w:tcPr>
            <w:tcW w:w="1260" w:type="dxa"/>
            <w:tcBorders>
              <w:left w:val="none" w:sz="0" w:space="0" w:color="auto"/>
              <w:bottom w:val="single" w:sz="8" w:space="0" w:color="7BA0CD" w:themeColor="accent1" w:themeTint="BF"/>
              <w:right w:val="none" w:sz="0" w:space="0" w:color="auto"/>
            </w:tcBorders>
            <w:vAlign w:val="center"/>
          </w:tcPr>
          <w:p w14:paraId="5398E534" w14:textId="30BE1528"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80</w:t>
            </w:r>
          </w:p>
        </w:tc>
        <w:tc>
          <w:tcPr>
            <w:tcW w:w="1350" w:type="dxa"/>
            <w:tcBorders>
              <w:left w:val="none" w:sz="0" w:space="0" w:color="auto"/>
              <w:bottom w:val="single" w:sz="8" w:space="0" w:color="7BA0CD" w:themeColor="accent1" w:themeTint="BF"/>
              <w:right w:val="none" w:sz="0" w:space="0" w:color="auto"/>
            </w:tcBorders>
            <w:noWrap/>
            <w:vAlign w:val="center"/>
            <w:hideMark/>
          </w:tcPr>
          <w:p w14:paraId="2B9DD655" w14:textId="024488E1"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11</w:t>
            </w:r>
          </w:p>
        </w:tc>
        <w:tc>
          <w:tcPr>
            <w:tcW w:w="900" w:type="dxa"/>
            <w:tcBorders>
              <w:left w:val="none" w:sz="0" w:space="0" w:color="auto"/>
              <w:bottom w:val="single" w:sz="8" w:space="0" w:color="7BA0CD" w:themeColor="accent1" w:themeTint="BF"/>
              <w:right w:val="none" w:sz="0" w:space="0" w:color="auto"/>
            </w:tcBorders>
            <w:vAlign w:val="center"/>
          </w:tcPr>
          <w:p w14:paraId="61343792" w14:textId="3567098A"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645 </w:t>
            </w:r>
          </w:p>
        </w:tc>
        <w:tc>
          <w:tcPr>
            <w:tcW w:w="1098" w:type="dxa"/>
            <w:tcBorders>
              <w:left w:val="none" w:sz="0" w:space="0" w:color="auto"/>
              <w:bottom w:val="single" w:sz="8" w:space="0" w:color="7BA0CD" w:themeColor="accent1" w:themeTint="BF"/>
            </w:tcBorders>
            <w:noWrap/>
            <w:vAlign w:val="center"/>
            <w:hideMark/>
          </w:tcPr>
          <w:p w14:paraId="2B44BAD3" w14:textId="22C50E5F"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$13.89 </w:t>
            </w:r>
          </w:p>
        </w:tc>
      </w:tr>
      <w:tr w:rsidR="00062BC5" w:rsidRPr="003B7F14" w14:paraId="2BBE72FE"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0F14C452" w14:textId="7B63B27E" w:rsidR="00062BC5" w:rsidRPr="005947FE" w:rsidRDefault="00062BC5" w:rsidP="00062BC5">
            <w:pPr>
              <w:pStyle w:val="Tablenormalleft"/>
              <w:keepNext w:val="0"/>
              <w:widowControl w:val="0"/>
              <w:jc w:val="left"/>
              <w:rPr>
                <w:szCs w:val="18"/>
              </w:rPr>
            </w:pPr>
            <w:r w:rsidRPr="006016DA">
              <w:t>502.00</w:t>
            </w:r>
          </w:p>
        </w:tc>
        <w:tc>
          <w:tcPr>
            <w:tcW w:w="2970" w:type="dxa"/>
            <w:tcBorders>
              <w:left w:val="none" w:sz="0" w:space="0" w:color="auto"/>
              <w:bottom w:val="single" w:sz="8" w:space="0" w:color="7BA0CD" w:themeColor="accent1" w:themeTint="BF"/>
              <w:right w:val="none" w:sz="0" w:space="0" w:color="auto"/>
            </w:tcBorders>
            <w:noWrap/>
            <w:vAlign w:val="center"/>
            <w:hideMark/>
          </w:tcPr>
          <w:p w14:paraId="2ABC3E61" w14:textId="283BFBA5"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t>Accounting</w:t>
            </w:r>
            <w:r w:rsidR="00297C84">
              <w:t xml:space="preserve"> (CIP </w:t>
            </w:r>
            <w:r w:rsidR="00297C84" w:rsidRPr="00297C84">
              <w:t>52.0302</w:t>
            </w:r>
            <w:r w:rsidR="00297C84">
              <w:t>)</w:t>
            </w:r>
          </w:p>
        </w:tc>
        <w:tc>
          <w:tcPr>
            <w:tcW w:w="1080" w:type="dxa"/>
            <w:tcBorders>
              <w:left w:val="none" w:sz="0" w:space="0" w:color="auto"/>
              <w:bottom w:val="single" w:sz="8" w:space="0" w:color="7BA0CD" w:themeColor="accent1" w:themeTint="BF"/>
              <w:right w:val="none" w:sz="0" w:space="0" w:color="auto"/>
            </w:tcBorders>
            <w:noWrap/>
            <w:vAlign w:val="center"/>
            <w:hideMark/>
          </w:tcPr>
          <w:p w14:paraId="12B1D8BF" w14:textId="2DD6E8D5"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196</w:t>
            </w:r>
          </w:p>
        </w:tc>
        <w:tc>
          <w:tcPr>
            <w:tcW w:w="1260" w:type="dxa"/>
            <w:tcBorders>
              <w:left w:val="none" w:sz="0" w:space="0" w:color="auto"/>
              <w:bottom w:val="single" w:sz="8" w:space="0" w:color="7BA0CD" w:themeColor="accent1" w:themeTint="BF"/>
              <w:right w:val="none" w:sz="0" w:space="0" w:color="auto"/>
            </w:tcBorders>
            <w:vAlign w:val="center"/>
          </w:tcPr>
          <w:p w14:paraId="4BD4D221" w14:textId="5DE2F74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86</w:t>
            </w:r>
          </w:p>
        </w:tc>
        <w:tc>
          <w:tcPr>
            <w:tcW w:w="1350" w:type="dxa"/>
            <w:tcBorders>
              <w:left w:val="none" w:sz="0" w:space="0" w:color="auto"/>
              <w:bottom w:val="single" w:sz="8" w:space="0" w:color="7BA0CD" w:themeColor="accent1" w:themeTint="BF"/>
              <w:right w:val="none" w:sz="0" w:space="0" w:color="auto"/>
            </w:tcBorders>
            <w:noWrap/>
            <w:vAlign w:val="center"/>
            <w:hideMark/>
          </w:tcPr>
          <w:p w14:paraId="3E8E256A" w14:textId="160030B8"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17</w:t>
            </w:r>
          </w:p>
        </w:tc>
        <w:tc>
          <w:tcPr>
            <w:tcW w:w="900" w:type="dxa"/>
            <w:tcBorders>
              <w:left w:val="none" w:sz="0" w:space="0" w:color="auto"/>
              <w:bottom w:val="single" w:sz="8" w:space="0" w:color="7BA0CD" w:themeColor="accent1" w:themeTint="BF"/>
              <w:right w:val="none" w:sz="0" w:space="0" w:color="auto"/>
            </w:tcBorders>
            <w:vAlign w:val="center"/>
          </w:tcPr>
          <w:p w14:paraId="6E3E1CC9" w14:textId="2F9F97D6"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110 </w:t>
            </w:r>
          </w:p>
        </w:tc>
        <w:tc>
          <w:tcPr>
            <w:tcW w:w="1098" w:type="dxa"/>
            <w:tcBorders>
              <w:left w:val="none" w:sz="0" w:space="0" w:color="auto"/>
              <w:bottom w:val="single" w:sz="8" w:space="0" w:color="7BA0CD" w:themeColor="accent1" w:themeTint="BF"/>
            </w:tcBorders>
            <w:noWrap/>
            <w:vAlign w:val="center"/>
            <w:hideMark/>
          </w:tcPr>
          <w:p w14:paraId="5FE33D95" w14:textId="05754FED"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$16.67 </w:t>
            </w:r>
          </w:p>
        </w:tc>
      </w:tr>
      <w:tr w:rsidR="00062BC5" w:rsidRPr="003B7F14" w14:paraId="66134EA6"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444E4966" w14:textId="7B6AA127" w:rsidR="00062BC5" w:rsidRPr="005947FE" w:rsidRDefault="00062BC5" w:rsidP="00062BC5">
            <w:pPr>
              <w:pStyle w:val="Tablenormalleft"/>
              <w:keepNext w:val="0"/>
              <w:widowControl w:val="0"/>
              <w:jc w:val="left"/>
              <w:rPr>
                <w:szCs w:val="18"/>
              </w:rPr>
            </w:pPr>
            <w:r w:rsidRPr="006016DA">
              <w:t>1305.00</w:t>
            </w:r>
          </w:p>
        </w:tc>
        <w:tc>
          <w:tcPr>
            <w:tcW w:w="2970" w:type="dxa"/>
            <w:tcBorders>
              <w:left w:val="none" w:sz="0" w:space="0" w:color="auto"/>
              <w:bottom w:val="single" w:sz="8" w:space="0" w:color="7BA0CD" w:themeColor="accent1" w:themeTint="BF"/>
              <w:right w:val="none" w:sz="0" w:space="0" w:color="auto"/>
            </w:tcBorders>
            <w:noWrap/>
            <w:vAlign w:val="center"/>
            <w:hideMark/>
          </w:tcPr>
          <w:p w14:paraId="0A62A0B4" w14:textId="533FC575"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t>Child Development/Early Care and Education</w:t>
            </w:r>
            <w:r w:rsidR="00297C84">
              <w:t xml:space="preserve"> (CIP 19.0706)</w:t>
            </w:r>
          </w:p>
        </w:tc>
        <w:tc>
          <w:tcPr>
            <w:tcW w:w="1080" w:type="dxa"/>
            <w:tcBorders>
              <w:left w:val="none" w:sz="0" w:space="0" w:color="auto"/>
              <w:bottom w:val="single" w:sz="8" w:space="0" w:color="7BA0CD" w:themeColor="accent1" w:themeTint="BF"/>
              <w:right w:val="none" w:sz="0" w:space="0" w:color="auto"/>
            </w:tcBorders>
            <w:noWrap/>
            <w:vAlign w:val="center"/>
            <w:hideMark/>
          </w:tcPr>
          <w:p w14:paraId="04BBDA48" w14:textId="77E5EA97"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94</w:t>
            </w:r>
          </w:p>
        </w:tc>
        <w:tc>
          <w:tcPr>
            <w:tcW w:w="1260" w:type="dxa"/>
            <w:tcBorders>
              <w:left w:val="none" w:sz="0" w:space="0" w:color="auto"/>
              <w:bottom w:val="single" w:sz="8" w:space="0" w:color="7BA0CD" w:themeColor="accent1" w:themeTint="BF"/>
              <w:right w:val="none" w:sz="0" w:space="0" w:color="auto"/>
            </w:tcBorders>
            <w:vAlign w:val="center"/>
          </w:tcPr>
          <w:p w14:paraId="35B1BB2C" w14:textId="377B1B9B"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4</w:t>
            </w:r>
          </w:p>
        </w:tc>
        <w:tc>
          <w:tcPr>
            <w:tcW w:w="1350" w:type="dxa"/>
            <w:tcBorders>
              <w:left w:val="none" w:sz="0" w:space="0" w:color="auto"/>
              <w:bottom w:val="single" w:sz="8" w:space="0" w:color="7BA0CD" w:themeColor="accent1" w:themeTint="BF"/>
              <w:right w:val="none" w:sz="0" w:space="0" w:color="auto"/>
            </w:tcBorders>
            <w:noWrap/>
            <w:vAlign w:val="center"/>
            <w:hideMark/>
          </w:tcPr>
          <w:p w14:paraId="7E66579B" w14:textId="6683FF97"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4</w:t>
            </w:r>
          </w:p>
        </w:tc>
        <w:tc>
          <w:tcPr>
            <w:tcW w:w="900" w:type="dxa"/>
            <w:tcBorders>
              <w:left w:val="none" w:sz="0" w:space="0" w:color="auto"/>
              <w:bottom w:val="single" w:sz="8" w:space="0" w:color="7BA0CD" w:themeColor="accent1" w:themeTint="BF"/>
              <w:right w:val="none" w:sz="0" w:space="0" w:color="auto"/>
            </w:tcBorders>
            <w:vAlign w:val="center"/>
          </w:tcPr>
          <w:p w14:paraId="373BC03B" w14:textId="71C17125"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90 </w:t>
            </w:r>
          </w:p>
        </w:tc>
        <w:tc>
          <w:tcPr>
            <w:tcW w:w="1098" w:type="dxa"/>
            <w:tcBorders>
              <w:left w:val="none" w:sz="0" w:space="0" w:color="auto"/>
              <w:bottom w:val="single" w:sz="8" w:space="0" w:color="7BA0CD" w:themeColor="accent1" w:themeTint="BF"/>
            </w:tcBorders>
            <w:noWrap/>
            <w:vAlign w:val="center"/>
            <w:hideMark/>
          </w:tcPr>
          <w:p w14:paraId="0A4A7912" w14:textId="21B604FC"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$9.90 </w:t>
            </w:r>
          </w:p>
        </w:tc>
      </w:tr>
      <w:tr w:rsidR="00062BC5" w:rsidRPr="003B7F14" w14:paraId="6186454C"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0DBD2F78" w14:textId="7A03A16A" w:rsidR="00062BC5" w:rsidRPr="005947FE" w:rsidRDefault="00062BC5" w:rsidP="00062BC5">
            <w:pPr>
              <w:pStyle w:val="Tablenormalleft"/>
              <w:keepNext w:val="0"/>
              <w:widowControl w:val="0"/>
              <w:jc w:val="left"/>
              <w:rPr>
                <w:szCs w:val="18"/>
              </w:rPr>
            </w:pPr>
            <w:r w:rsidRPr="006016DA">
              <w:t>505.00</w:t>
            </w:r>
          </w:p>
        </w:tc>
        <w:tc>
          <w:tcPr>
            <w:tcW w:w="2970" w:type="dxa"/>
            <w:tcBorders>
              <w:left w:val="none" w:sz="0" w:space="0" w:color="auto"/>
              <w:bottom w:val="single" w:sz="8" w:space="0" w:color="7BA0CD" w:themeColor="accent1" w:themeTint="BF"/>
              <w:right w:val="none" w:sz="0" w:space="0" w:color="auto"/>
            </w:tcBorders>
            <w:noWrap/>
            <w:vAlign w:val="center"/>
            <w:hideMark/>
          </w:tcPr>
          <w:p w14:paraId="2DD2B70E" w14:textId="2CE8FFFA"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t>Business Administration</w:t>
            </w:r>
            <w:r w:rsidR="00297C84">
              <w:t xml:space="preserve"> (CIP 52.0201)</w:t>
            </w:r>
          </w:p>
        </w:tc>
        <w:tc>
          <w:tcPr>
            <w:tcW w:w="1080" w:type="dxa"/>
            <w:tcBorders>
              <w:left w:val="none" w:sz="0" w:space="0" w:color="auto"/>
              <w:bottom w:val="single" w:sz="8" w:space="0" w:color="7BA0CD" w:themeColor="accent1" w:themeTint="BF"/>
              <w:right w:val="none" w:sz="0" w:space="0" w:color="auto"/>
            </w:tcBorders>
            <w:noWrap/>
            <w:vAlign w:val="center"/>
            <w:hideMark/>
          </w:tcPr>
          <w:p w14:paraId="07C5713A" w14:textId="505166A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270</w:t>
            </w:r>
          </w:p>
        </w:tc>
        <w:tc>
          <w:tcPr>
            <w:tcW w:w="1260" w:type="dxa"/>
            <w:tcBorders>
              <w:left w:val="none" w:sz="0" w:space="0" w:color="auto"/>
              <w:bottom w:val="single" w:sz="8" w:space="0" w:color="7BA0CD" w:themeColor="accent1" w:themeTint="BF"/>
              <w:right w:val="none" w:sz="0" w:space="0" w:color="auto"/>
            </w:tcBorders>
            <w:vAlign w:val="center"/>
          </w:tcPr>
          <w:p w14:paraId="3C956914" w14:textId="0A90AC11"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191</w:t>
            </w:r>
          </w:p>
        </w:tc>
        <w:tc>
          <w:tcPr>
            <w:tcW w:w="1350" w:type="dxa"/>
            <w:tcBorders>
              <w:left w:val="none" w:sz="0" w:space="0" w:color="auto"/>
              <w:bottom w:val="single" w:sz="8" w:space="0" w:color="7BA0CD" w:themeColor="accent1" w:themeTint="BF"/>
              <w:right w:val="none" w:sz="0" w:space="0" w:color="auto"/>
            </w:tcBorders>
            <w:noWrap/>
            <w:vAlign w:val="center"/>
            <w:hideMark/>
          </w:tcPr>
          <w:p w14:paraId="4AED0825" w14:textId="22859CDE"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5</w:t>
            </w:r>
          </w:p>
        </w:tc>
        <w:tc>
          <w:tcPr>
            <w:tcW w:w="900" w:type="dxa"/>
            <w:tcBorders>
              <w:left w:val="none" w:sz="0" w:space="0" w:color="auto"/>
              <w:bottom w:val="single" w:sz="8" w:space="0" w:color="7BA0CD" w:themeColor="accent1" w:themeTint="BF"/>
              <w:right w:val="none" w:sz="0" w:space="0" w:color="auto"/>
            </w:tcBorders>
            <w:vAlign w:val="center"/>
          </w:tcPr>
          <w:p w14:paraId="025E5228" w14:textId="72519E27"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79 </w:t>
            </w:r>
          </w:p>
        </w:tc>
        <w:tc>
          <w:tcPr>
            <w:tcW w:w="1098" w:type="dxa"/>
            <w:tcBorders>
              <w:left w:val="none" w:sz="0" w:space="0" w:color="auto"/>
              <w:bottom w:val="single" w:sz="8" w:space="0" w:color="7BA0CD" w:themeColor="accent1" w:themeTint="BF"/>
            </w:tcBorders>
            <w:noWrap/>
            <w:vAlign w:val="center"/>
            <w:hideMark/>
          </w:tcPr>
          <w:p w14:paraId="77826C6B" w14:textId="2342CE50"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$34.71 </w:t>
            </w:r>
          </w:p>
        </w:tc>
      </w:tr>
      <w:tr w:rsidR="00062BC5" w:rsidRPr="003B7F14" w14:paraId="6032A13C"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771D721C" w14:textId="58AEF1DD" w:rsidR="00062BC5" w:rsidRPr="005947FE" w:rsidRDefault="00062BC5" w:rsidP="00062BC5">
            <w:pPr>
              <w:pStyle w:val="Tablenormalleft"/>
              <w:keepNext w:val="0"/>
              <w:widowControl w:val="0"/>
              <w:jc w:val="left"/>
              <w:rPr>
                <w:szCs w:val="18"/>
              </w:rPr>
            </w:pPr>
            <w:r w:rsidRPr="006016DA">
              <w:t>514.00</w:t>
            </w:r>
          </w:p>
        </w:tc>
        <w:tc>
          <w:tcPr>
            <w:tcW w:w="2970" w:type="dxa"/>
            <w:tcBorders>
              <w:left w:val="none" w:sz="0" w:space="0" w:color="auto"/>
              <w:bottom w:val="single" w:sz="8" w:space="0" w:color="7BA0CD" w:themeColor="accent1" w:themeTint="BF"/>
              <w:right w:val="none" w:sz="0" w:space="0" w:color="auto"/>
            </w:tcBorders>
            <w:noWrap/>
            <w:vAlign w:val="center"/>
            <w:hideMark/>
          </w:tcPr>
          <w:p w14:paraId="3FAFA5E4" w14:textId="76F042BD" w:rsidR="00062BC5" w:rsidRPr="005947FE" w:rsidRDefault="00297C84"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297C84">
              <w:t>Office Technology/Office Computer Applications</w:t>
            </w:r>
          </w:p>
        </w:tc>
        <w:tc>
          <w:tcPr>
            <w:tcW w:w="1080" w:type="dxa"/>
            <w:tcBorders>
              <w:left w:val="none" w:sz="0" w:space="0" w:color="auto"/>
              <w:bottom w:val="single" w:sz="8" w:space="0" w:color="7BA0CD" w:themeColor="accent1" w:themeTint="BF"/>
              <w:right w:val="none" w:sz="0" w:space="0" w:color="auto"/>
            </w:tcBorders>
            <w:noWrap/>
            <w:vAlign w:val="center"/>
            <w:hideMark/>
          </w:tcPr>
          <w:p w14:paraId="507BF01F" w14:textId="52137EAC"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185</w:t>
            </w:r>
          </w:p>
        </w:tc>
        <w:tc>
          <w:tcPr>
            <w:tcW w:w="1260" w:type="dxa"/>
            <w:tcBorders>
              <w:left w:val="none" w:sz="0" w:space="0" w:color="auto"/>
              <w:bottom w:val="single" w:sz="8" w:space="0" w:color="7BA0CD" w:themeColor="accent1" w:themeTint="BF"/>
              <w:right w:val="none" w:sz="0" w:space="0" w:color="auto"/>
            </w:tcBorders>
            <w:vAlign w:val="center"/>
          </w:tcPr>
          <w:p w14:paraId="3DB7BC5D" w14:textId="0D9F5406"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125</w:t>
            </w:r>
          </w:p>
        </w:tc>
        <w:tc>
          <w:tcPr>
            <w:tcW w:w="1350" w:type="dxa"/>
            <w:tcBorders>
              <w:left w:val="none" w:sz="0" w:space="0" w:color="auto"/>
              <w:bottom w:val="single" w:sz="8" w:space="0" w:color="7BA0CD" w:themeColor="accent1" w:themeTint="BF"/>
              <w:right w:val="none" w:sz="0" w:space="0" w:color="auto"/>
            </w:tcBorders>
            <w:noWrap/>
            <w:vAlign w:val="center"/>
            <w:hideMark/>
          </w:tcPr>
          <w:p w14:paraId="4CC2133A" w14:textId="724B6ED0"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35</w:t>
            </w:r>
          </w:p>
        </w:tc>
        <w:tc>
          <w:tcPr>
            <w:tcW w:w="900" w:type="dxa"/>
            <w:tcBorders>
              <w:left w:val="none" w:sz="0" w:space="0" w:color="auto"/>
              <w:bottom w:val="single" w:sz="8" w:space="0" w:color="7BA0CD" w:themeColor="accent1" w:themeTint="BF"/>
              <w:right w:val="none" w:sz="0" w:space="0" w:color="auto"/>
            </w:tcBorders>
            <w:vAlign w:val="center"/>
          </w:tcPr>
          <w:p w14:paraId="4C6870EF" w14:textId="076ED4BC"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60 </w:t>
            </w:r>
          </w:p>
        </w:tc>
        <w:tc>
          <w:tcPr>
            <w:tcW w:w="1098" w:type="dxa"/>
            <w:tcBorders>
              <w:left w:val="none" w:sz="0" w:space="0" w:color="auto"/>
              <w:bottom w:val="single" w:sz="8" w:space="0" w:color="7BA0CD" w:themeColor="accent1" w:themeTint="BF"/>
            </w:tcBorders>
            <w:noWrap/>
            <w:vAlign w:val="center"/>
            <w:hideMark/>
          </w:tcPr>
          <w:p w14:paraId="5DC16AFF" w14:textId="5CD169A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$16.00 </w:t>
            </w:r>
          </w:p>
        </w:tc>
      </w:tr>
      <w:tr w:rsidR="00062BC5" w:rsidRPr="003B7F14" w14:paraId="0B56A954"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11606A85" w14:textId="692FC804" w:rsidR="00062BC5" w:rsidRPr="005947FE" w:rsidRDefault="00062BC5" w:rsidP="00062BC5">
            <w:pPr>
              <w:pStyle w:val="Tablenormalleft"/>
              <w:keepNext w:val="0"/>
              <w:widowControl w:val="0"/>
              <w:jc w:val="left"/>
              <w:rPr>
                <w:szCs w:val="18"/>
              </w:rPr>
            </w:pPr>
            <w:r w:rsidRPr="006016DA">
              <w:t>101.00</w:t>
            </w:r>
          </w:p>
        </w:tc>
        <w:tc>
          <w:tcPr>
            <w:tcW w:w="2970" w:type="dxa"/>
            <w:tcBorders>
              <w:left w:val="none" w:sz="0" w:space="0" w:color="auto"/>
              <w:bottom w:val="single" w:sz="8" w:space="0" w:color="7BA0CD" w:themeColor="accent1" w:themeTint="BF"/>
              <w:right w:val="none" w:sz="0" w:space="0" w:color="auto"/>
            </w:tcBorders>
            <w:noWrap/>
            <w:vAlign w:val="center"/>
            <w:hideMark/>
          </w:tcPr>
          <w:p w14:paraId="3AE31D20" w14:textId="7A3D31F6"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t>Agriculture Technology and Sciences, General</w:t>
            </w:r>
            <w:r w:rsidR="00297C84">
              <w:t xml:space="preserve"> (CIP 1.0101)</w:t>
            </w:r>
          </w:p>
        </w:tc>
        <w:tc>
          <w:tcPr>
            <w:tcW w:w="1080" w:type="dxa"/>
            <w:tcBorders>
              <w:left w:val="none" w:sz="0" w:space="0" w:color="auto"/>
              <w:bottom w:val="single" w:sz="8" w:space="0" w:color="7BA0CD" w:themeColor="accent1" w:themeTint="BF"/>
              <w:right w:val="none" w:sz="0" w:space="0" w:color="auto"/>
            </w:tcBorders>
            <w:noWrap/>
            <w:vAlign w:val="center"/>
            <w:hideMark/>
          </w:tcPr>
          <w:p w14:paraId="35E11FEE" w14:textId="142E4D6B"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35</w:t>
            </w:r>
          </w:p>
        </w:tc>
        <w:tc>
          <w:tcPr>
            <w:tcW w:w="1260" w:type="dxa"/>
            <w:tcBorders>
              <w:left w:val="none" w:sz="0" w:space="0" w:color="auto"/>
              <w:bottom w:val="single" w:sz="8" w:space="0" w:color="7BA0CD" w:themeColor="accent1" w:themeTint="BF"/>
              <w:right w:val="none" w:sz="0" w:space="0" w:color="auto"/>
            </w:tcBorders>
            <w:vAlign w:val="center"/>
          </w:tcPr>
          <w:p w14:paraId="1892B5FF" w14:textId="3612A18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6</w:t>
            </w:r>
          </w:p>
        </w:tc>
        <w:tc>
          <w:tcPr>
            <w:tcW w:w="1350" w:type="dxa"/>
            <w:tcBorders>
              <w:left w:val="none" w:sz="0" w:space="0" w:color="auto"/>
              <w:bottom w:val="single" w:sz="8" w:space="0" w:color="7BA0CD" w:themeColor="accent1" w:themeTint="BF"/>
              <w:right w:val="none" w:sz="0" w:space="0" w:color="auto"/>
            </w:tcBorders>
            <w:noWrap/>
            <w:vAlign w:val="center"/>
            <w:hideMark/>
          </w:tcPr>
          <w:p w14:paraId="4F5CA485" w14:textId="62F0DC2E"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6</w:t>
            </w:r>
          </w:p>
        </w:tc>
        <w:tc>
          <w:tcPr>
            <w:tcW w:w="900" w:type="dxa"/>
            <w:tcBorders>
              <w:left w:val="none" w:sz="0" w:space="0" w:color="auto"/>
              <w:bottom w:val="single" w:sz="8" w:space="0" w:color="7BA0CD" w:themeColor="accent1" w:themeTint="BF"/>
              <w:right w:val="none" w:sz="0" w:space="0" w:color="auto"/>
            </w:tcBorders>
            <w:vAlign w:val="center"/>
          </w:tcPr>
          <w:p w14:paraId="30205497" w14:textId="08B0EADE"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29 </w:t>
            </w:r>
          </w:p>
        </w:tc>
        <w:tc>
          <w:tcPr>
            <w:tcW w:w="1098" w:type="dxa"/>
            <w:tcBorders>
              <w:left w:val="none" w:sz="0" w:space="0" w:color="auto"/>
              <w:bottom w:val="single" w:sz="8" w:space="0" w:color="7BA0CD" w:themeColor="accent1" w:themeTint="BF"/>
            </w:tcBorders>
            <w:noWrap/>
            <w:vAlign w:val="center"/>
            <w:hideMark/>
          </w:tcPr>
          <w:p w14:paraId="6359E943" w14:textId="53AE8A41"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$19.25 </w:t>
            </w:r>
          </w:p>
        </w:tc>
      </w:tr>
      <w:tr w:rsidR="00062BC5" w:rsidRPr="003B7F14" w14:paraId="29E0F1A0"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16AAA3E8" w14:textId="0452913F" w:rsidR="00062BC5" w:rsidRPr="005947FE" w:rsidRDefault="00062BC5" w:rsidP="00062BC5">
            <w:pPr>
              <w:pStyle w:val="Tablenormalleft"/>
              <w:keepNext w:val="0"/>
              <w:widowControl w:val="0"/>
              <w:jc w:val="left"/>
              <w:rPr>
                <w:szCs w:val="18"/>
              </w:rPr>
            </w:pPr>
            <w:r w:rsidRPr="006016DA">
              <w:t>502.00</w:t>
            </w:r>
          </w:p>
        </w:tc>
        <w:tc>
          <w:tcPr>
            <w:tcW w:w="2970" w:type="dxa"/>
            <w:tcBorders>
              <w:left w:val="none" w:sz="0" w:space="0" w:color="auto"/>
              <w:bottom w:val="single" w:sz="8" w:space="0" w:color="7BA0CD" w:themeColor="accent1" w:themeTint="BF"/>
              <w:right w:val="none" w:sz="0" w:space="0" w:color="auto"/>
            </w:tcBorders>
            <w:noWrap/>
            <w:vAlign w:val="center"/>
            <w:hideMark/>
          </w:tcPr>
          <w:p w14:paraId="2B5EAB16" w14:textId="6C5D3C97"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DA6A8F">
              <w:t>Accounting</w:t>
            </w:r>
            <w:r w:rsidR="00297C84">
              <w:t xml:space="preserve"> (CIP 52.0301)</w:t>
            </w:r>
          </w:p>
        </w:tc>
        <w:tc>
          <w:tcPr>
            <w:tcW w:w="1080" w:type="dxa"/>
            <w:tcBorders>
              <w:left w:val="none" w:sz="0" w:space="0" w:color="auto"/>
              <w:bottom w:val="single" w:sz="8" w:space="0" w:color="7BA0CD" w:themeColor="accent1" w:themeTint="BF"/>
              <w:right w:val="none" w:sz="0" w:space="0" w:color="auto"/>
            </w:tcBorders>
            <w:noWrap/>
            <w:vAlign w:val="center"/>
            <w:hideMark/>
          </w:tcPr>
          <w:p w14:paraId="69D6407C" w14:textId="51815622"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36</w:t>
            </w:r>
          </w:p>
        </w:tc>
        <w:tc>
          <w:tcPr>
            <w:tcW w:w="1260" w:type="dxa"/>
            <w:tcBorders>
              <w:left w:val="none" w:sz="0" w:space="0" w:color="auto"/>
              <w:bottom w:val="single" w:sz="8" w:space="0" w:color="7BA0CD" w:themeColor="accent1" w:themeTint="BF"/>
              <w:right w:val="none" w:sz="0" w:space="0" w:color="auto"/>
            </w:tcBorders>
            <w:vAlign w:val="center"/>
          </w:tcPr>
          <w:p w14:paraId="5B74B88D" w14:textId="3FDD35FB"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9</w:t>
            </w:r>
          </w:p>
        </w:tc>
        <w:tc>
          <w:tcPr>
            <w:tcW w:w="1350" w:type="dxa"/>
            <w:tcBorders>
              <w:left w:val="none" w:sz="0" w:space="0" w:color="auto"/>
              <w:bottom w:val="single" w:sz="8" w:space="0" w:color="7BA0CD" w:themeColor="accent1" w:themeTint="BF"/>
              <w:right w:val="none" w:sz="0" w:space="0" w:color="auto"/>
            </w:tcBorders>
            <w:noWrap/>
            <w:vAlign w:val="center"/>
            <w:hideMark/>
          </w:tcPr>
          <w:p w14:paraId="27D8DB75" w14:textId="7A5DEA07"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7</w:t>
            </w:r>
          </w:p>
        </w:tc>
        <w:tc>
          <w:tcPr>
            <w:tcW w:w="900" w:type="dxa"/>
            <w:tcBorders>
              <w:left w:val="none" w:sz="0" w:space="0" w:color="auto"/>
              <w:bottom w:val="single" w:sz="8" w:space="0" w:color="7BA0CD" w:themeColor="accent1" w:themeTint="BF"/>
              <w:right w:val="none" w:sz="0" w:space="0" w:color="auto"/>
            </w:tcBorders>
            <w:vAlign w:val="center"/>
          </w:tcPr>
          <w:p w14:paraId="4567D000" w14:textId="056D9CD9"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27 </w:t>
            </w:r>
          </w:p>
        </w:tc>
        <w:tc>
          <w:tcPr>
            <w:tcW w:w="1098" w:type="dxa"/>
            <w:tcBorders>
              <w:left w:val="none" w:sz="0" w:space="0" w:color="auto"/>
              <w:bottom w:val="single" w:sz="8" w:space="0" w:color="7BA0CD" w:themeColor="accent1" w:themeTint="BF"/>
            </w:tcBorders>
            <w:noWrap/>
            <w:vAlign w:val="center"/>
            <w:hideMark/>
          </w:tcPr>
          <w:p w14:paraId="3AA36831" w14:textId="41375D38"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$26.45 </w:t>
            </w:r>
          </w:p>
        </w:tc>
      </w:tr>
      <w:tr w:rsidR="00062BC5" w:rsidRPr="003B7F14" w14:paraId="387B212C"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7DEF069A" w14:textId="47050FF0" w:rsidR="00062BC5" w:rsidRPr="005947FE" w:rsidRDefault="00062BC5" w:rsidP="00062BC5">
            <w:pPr>
              <w:pStyle w:val="Tablenormalleft"/>
              <w:keepNext w:val="0"/>
              <w:widowControl w:val="0"/>
              <w:jc w:val="left"/>
              <w:rPr>
                <w:szCs w:val="18"/>
              </w:rPr>
            </w:pPr>
            <w:r w:rsidRPr="006016DA">
              <w:t>958.00</w:t>
            </w:r>
          </w:p>
        </w:tc>
        <w:tc>
          <w:tcPr>
            <w:tcW w:w="2970" w:type="dxa"/>
            <w:tcBorders>
              <w:left w:val="none" w:sz="0" w:space="0" w:color="auto"/>
              <w:bottom w:val="single" w:sz="8" w:space="0" w:color="7BA0CD" w:themeColor="accent1" w:themeTint="BF"/>
              <w:right w:val="none" w:sz="0" w:space="0" w:color="auto"/>
            </w:tcBorders>
            <w:noWrap/>
            <w:vAlign w:val="center"/>
          </w:tcPr>
          <w:p w14:paraId="55DD424C" w14:textId="045E1DED"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DC7C35">
              <w:t>Water and Wastewater Technology</w:t>
            </w:r>
          </w:p>
        </w:tc>
        <w:tc>
          <w:tcPr>
            <w:tcW w:w="1080" w:type="dxa"/>
            <w:tcBorders>
              <w:left w:val="none" w:sz="0" w:space="0" w:color="auto"/>
              <w:bottom w:val="single" w:sz="8" w:space="0" w:color="7BA0CD" w:themeColor="accent1" w:themeTint="BF"/>
              <w:right w:val="none" w:sz="0" w:space="0" w:color="auto"/>
            </w:tcBorders>
            <w:noWrap/>
            <w:vAlign w:val="center"/>
          </w:tcPr>
          <w:p w14:paraId="24453D4B" w14:textId="11B2D5A5"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19</w:t>
            </w:r>
          </w:p>
        </w:tc>
        <w:tc>
          <w:tcPr>
            <w:tcW w:w="1260" w:type="dxa"/>
            <w:tcBorders>
              <w:left w:val="none" w:sz="0" w:space="0" w:color="auto"/>
              <w:bottom w:val="single" w:sz="8" w:space="0" w:color="7BA0CD" w:themeColor="accent1" w:themeTint="BF"/>
              <w:right w:val="none" w:sz="0" w:space="0" w:color="auto"/>
            </w:tcBorders>
            <w:vAlign w:val="center"/>
          </w:tcPr>
          <w:p w14:paraId="0F4D3E5D" w14:textId="5D42F3E7"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3</w:t>
            </w:r>
          </w:p>
        </w:tc>
        <w:tc>
          <w:tcPr>
            <w:tcW w:w="1350" w:type="dxa"/>
            <w:tcBorders>
              <w:left w:val="none" w:sz="0" w:space="0" w:color="auto"/>
              <w:bottom w:val="single" w:sz="8" w:space="0" w:color="7BA0CD" w:themeColor="accent1" w:themeTint="BF"/>
              <w:right w:val="none" w:sz="0" w:space="0" w:color="auto"/>
            </w:tcBorders>
            <w:noWrap/>
            <w:vAlign w:val="center"/>
          </w:tcPr>
          <w:p w14:paraId="215E40A4" w14:textId="7F87B66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0</w:t>
            </w:r>
          </w:p>
        </w:tc>
        <w:tc>
          <w:tcPr>
            <w:tcW w:w="900" w:type="dxa"/>
            <w:tcBorders>
              <w:left w:val="none" w:sz="0" w:space="0" w:color="auto"/>
              <w:bottom w:val="single" w:sz="8" w:space="0" w:color="7BA0CD" w:themeColor="accent1" w:themeTint="BF"/>
              <w:right w:val="none" w:sz="0" w:space="0" w:color="auto"/>
            </w:tcBorders>
            <w:vAlign w:val="center"/>
          </w:tcPr>
          <w:p w14:paraId="37E298AA" w14:textId="5B3AD692"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16 </w:t>
            </w:r>
          </w:p>
        </w:tc>
        <w:tc>
          <w:tcPr>
            <w:tcW w:w="1098" w:type="dxa"/>
            <w:tcBorders>
              <w:left w:val="none" w:sz="0" w:space="0" w:color="auto"/>
              <w:bottom w:val="single" w:sz="8" w:space="0" w:color="7BA0CD" w:themeColor="accent1" w:themeTint="BF"/>
            </w:tcBorders>
            <w:noWrap/>
            <w:vAlign w:val="center"/>
          </w:tcPr>
          <w:p w14:paraId="0B07775F" w14:textId="5A24FB12"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$22.48 </w:t>
            </w:r>
          </w:p>
        </w:tc>
      </w:tr>
      <w:tr w:rsidR="00062BC5" w:rsidRPr="003B7F14" w14:paraId="319F186B"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48506741" w14:textId="68C4EA44" w:rsidR="00062BC5" w:rsidRPr="005947FE" w:rsidRDefault="00062BC5" w:rsidP="00062BC5">
            <w:pPr>
              <w:pStyle w:val="Tablenormalleft"/>
              <w:keepNext w:val="0"/>
              <w:widowControl w:val="0"/>
              <w:jc w:val="left"/>
              <w:rPr>
                <w:szCs w:val="18"/>
              </w:rPr>
            </w:pPr>
            <w:r w:rsidRPr="006016DA">
              <w:t>116.00</w:t>
            </w:r>
          </w:p>
        </w:tc>
        <w:tc>
          <w:tcPr>
            <w:tcW w:w="2970" w:type="dxa"/>
            <w:tcBorders>
              <w:left w:val="none" w:sz="0" w:space="0" w:color="auto"/>
              <w:bottom w:val="single" w:sz="8" w:space="0" w:color="7BA0CD" w:themeColor="accent1" w:themeTint="BF"/>
              <w:right w:val="none" w:sz="0" w:space="0" w:color="auto"/>
            </w:tcBorders>
            <w:noWrap/>
            <w:vAlign w:val="center"/>
          </w:tcPr>
          <w:p w14:paraId="4F960B98" w14:textId="2806879C"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DC7C35">
              <w:t>Agricultural Power Equipment Technology</w:t>
            </w:r>
            <w:r w:rsidR="00297C84">
              <w:t xml:space="preserve"> (CIP </w:t>
            </w:r>
            <w:r w:rsidR="00BF5DBF">
              <w:t>1.0205</w:t>
            </w:r>
            <w:r w:rsidR="00297C84">
              <w:t>)</w:t>
            </w:r>
          </w:p>
        </w:tc>
        <w:tc>
          <w:tcPr>
            <w:tcW w:w="1080" w:type="dxa"/>
            <w:tcBorders>
              <w:left w:val="none" w:sz="0" w:space="0" w:color="auto"/>
              <w:bottom w:val="single" w:sz="8" w:space="0" w:color="7BA0CD" w:themeColor="accent1" w:themeTint="BF"/>
              <w:right w:val="none" w:sz="0" w:space="0" w:color="auto"/>
            </w:tcBorders>
            <w:noWrap/>
            <w:vAlign w:val="center"/>
          </w:tcPr>
          <w:p w14:paraId="4A479E09" w14:textId="1C0E99C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29</w:t>
            </w:r>
          </w:p>
        </w:tc>
        <w:tc>
          <w:tcPr>
            <w:tcW w:w="1260" w:type="dxa"/>
            <w:tcBorders>
              <w:left w:val="none" w:sz="0" w:space="0" w:color="auto"/>
              <w:bottom w:val="single" w:sz="8" w:space="0" w:color="7BA0CD" w:themeColor="accent1" w:themeTint="BF"/>
              <w:right w:val="none" w:sz="0" w:space="0" w:color="auto"/>
            </w:tcBorders>
            <w:vAlign w:val="center"/>
          </w:tcPr>
          <w:p w14:paraId="3886949D" w14:textId="672C37EC"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13</w:t>
            </w:r>
          </w:p>
        </w:tc>
        <w:tc>
          <w:tcPr>
            <w:tcW w:w="1350" w:type="dxa"/>
            <w:tcBorders>
              <w:left w:val="none" w:sz="0" w:space="0" w:color="auto"/>
              <w:bottom w:val="single" w:sz="8" w:space="0" w:color="7BA0CD" w:themeColor="accent1" w:themeTint="BF"/>
              <w:right w:val="none" w:sz="0" w:space="0" w:color="auto"/>
            </w:tcBorders>
            <w:noWrap/>
            <w:vAlign w:val="center"/>
          </w:tcPr>
          <w:p w14:paraId="1E00209B" w14:textId="55EBE300"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13</w:t>
            </w:r>
          </w:p>
        </w:tc>
        <w:tc>
          <w:tcPr>
            <w:tcW w:w="900" w:type="dxa"/>
            <w:tcBorders>
              <w:left w:val="none" w:sz="0" w:space="0" w:color="auto"/>
              <w:bottom w:val="single" w:sz="8" w:space="0" w:color="7BA0CD" w:themeColor="accent1" w:themeTint="BF"/>
              <w:right w:val="none" w:sz="0" w:space="0" w:color="auto"/>
            </w:tcBorders>
            <w:vAlign w:val="center"/>
          </w:tcPr>
          <w:p w14:paraId="05EF9E6C" w14:textId="52D9C2C2"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16 </w:t>
            </w:r>
          </w:p>
        </w:tc>
        <w:tc>
          <w:tcPr>
            <w:tcW w:w="1098" w:type="dxa"/>
            <w:tcBorders>
              <w:left w:val="none" w:sz="0" w:space="0" w:color="auto"/>
              <w:bottom w:val="single" w:sz="8" w:space="0" w:color="7BA0CD" w:themeColor="accent1" w:themeTint="BF"/>
            </w:tcBorders>
            <w:noWrap/>
            <w:vAlign w:val="center"/>
          </w:tcPr>
          <w:p w14:paraId="549D4CFB" w14:textId="40CB8BE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$22.65 </w:t>
            </w:r>
          </w:p>
        </w:tc>
      </w:tr>
      <w:tr w:rsidR="00062BC5" w:rsidRPr="003B7F14" w14:paraId="212B3299"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3EF78A96" w14:textId="1CEBC206" w:rsidR="00062BC5" w:rsidRPr="005947FE" w:rsidRDefault="00062BC5" w:rsidP="00062BC5">
            <w:pPr>
              <w:pStyle w:val="Tablenormalleft"/>
              <w:keepNext w:val="0"/>
              <w:widowControl w:val="0"/>
              <w:jc w:val="left"/>
              <w:rPr>
                <w:szCs w:val="18"/>
              </w:rPr>
            </w:pPr>
            <w:r w:rsidRPr="006016DA">
              <w:t>948.00</w:t>
            </w:r>
          </w:p>
        </w:tc>
        <w:tc>
          <w:tcPr>
            <w:tcW w:w="2970" w:type="dxa"/>
            <w:tcBorders>
              <w:left w:val="none" w:sz="0" w:space="0" w:color="auto"/>
              <w:bottom w:val="single" w:sz="8" w:space="0" w:color="7BA0CD" w:themeColor="accent1" w:themeTint="BF"/>
              <w:right w:val="none" w:sz="0" w:space="0" w:color="auto"/>
            </w:tcBorders>
            <w:noWrap/>
            <w:vAlign w:val="center"/>
          </w:tcPr>
          <w:p w14:paraId="398C7C2D" w14:textId="4905F4B1"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DC7C35">
              <w:t>Automotive Technology</w:t>
            </w:r>
            <w:r w:rsidR="00BF5DBF">
              <w:t xml:space="preserve"> (CIP 47.0604)</w:t>
            </w:r>
          </w:p>
        </w:tc>
        <w:tc>
          <w:tcPr>
            <w:tcW w:w="1080" w:type="dxa"/>
            <w:tcBorders>
              <w:left w:val="none" w:sz="0" w:space="0" w:color="auto"/>
              <w:bottom w:val="single" w:sz="8" w:space="0" w:color="7BA0CD" w:themeColor="accent1" w:themeTint="BF"/>
              <w:right w:val="none" w:sz="0" w:space="0" w:color="auto"/>
            </w:tcBorders>
            <w:noWrap/>
            <w:vAlign w:val="center"/>
          </w:tcPr>
          <w:p w14:paraId="5D84A276" w14:textId="51F13565"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87</w:t>
            </w:r>
          </w:p>
        </w:tc>
        <w:tc>
          <w:tcPr>
            <w:tcW w:w="1260" w:type="dxa"/>
            <w:tcBorders>
              <w:left w:val="none" w:sz="0" w:space="0" w:color="auto"/>
              <w:bottom w:val="single" w:sz="8" w:space="0" w:color="7BA0CD" w:themeColor="accent1" w:themeTint="BF"/>
              <w:right w:val="none" w:sz="0" w:space="0" w:color="auto"/>
            </w:tcBorders>
            <w:vAlign w:val="center"/>
          </w:tcPr>
          <w:p w14:paraId="44597A15" w14:textId="107F645C"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77</w:t>
            </w:r>
          </w:p>
        </w:tc>
        <w:tc>
          <w:tcPr>
            <w:tcW w:w="1350" w:type="dxa"/>
            <w:tcBorders>
              <w:left w:val="none" w:sz="0" w:space="0" w:color="auto"/>
              <w:bottom w:val="single" w:sz="8" w:space="0" w:color="7BA0CD" w:themeColor="accent1" w:themeTint="BF"/>
              <w:right w:val="none" w:sz="0" w:space="0" w:color="auto"/>
            </w:tcBorders>
            <w:noWrap/>
            <w:vAlign w:val="center"/>
          </w:tcPr>
          <w:p w14:paraId="37AD6314" w14:textId="7E46A247"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29</w:t>
            </w:r>
          </w:p>
        </w:tc>
        <w:tc>
          <w:tcPr>
            <w:tcW w:w="900" w:type="dxa"/>
            <w:tcBorders>
              <w:left w:val="none" w:sz="0" w:space="0" w:color="auto"/>
              <w:bottom w:val="single" w:sz="8" w:space="0" w:color="7BA0CD" w:themeColor="accent1" w:themeTint="BF"/>
              <w:right w:val="none" w:sz="0" w:space="0" w:color="auto"/>
            </w:tcBorders>
            <w:vAlign w:val="center"/>
          </w:tcPr>
          <w:p w14:paraId="11BEBBE1" w14:textId="1B3628E7"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10 </w:t>
            </w:r>
          </w:p>
        </w:tc>
        <w:tc>
          <w:tcPr>
            <w:tcW w:w="1098" w:type="dxa"/>
            <w:tcBorders>
              <w:left w:val="none" w:sz="0" w:space="0" w:color="auto"/>
              <w:bottom w:val="single" w:sz="8" w:space="0" w:color="7BA0CD" w:themeColor="accent1" w:themeTint="BF"/>
            </w:tcBorders>
            <w:noWrap/>
            <w:vAlign w:val="center"/>
          </w:tcPr>
          <w:p w14:paraId="5D3A5066" w14:textId="371CD2C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$15.72 </w:t>
            </w:r>
          </w:p>
        </w:tc>
      </w:tr>
      <w:tr w:rsidR="00062BC5" w:rsidRPr="003B7F14" w14:paraId="702EE5FC"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0E7F8147" w14:textId="793276E2" w:rsidR="00062BC5" w:rsidRPr="005947FE" w:rsidRDefault="00062BC5" w:rsidP="00062BC5">
            <w:pPr>
              <w:pStyle w:val="Tablenormalleft"/>
              <w:keepNext w:val="0"/>
              <w:widowControl w:val="0"/>
              <w:jc w:val="left"/>
              <w:rPr>
                <w:szCs w:val="18"/>
              </w:rPr>
            </w:pPr>
            <w:r w:rsidRPr="006016DA">
              <w:t>950.00</w:t>
            </w:r>
          </w:p>
        </w:tc>
        <w:tc>
          <w:tcPr>
            <w:tcW w:w="2970" w:type="dxa"/>
            <w:tcBorders>
              <w:left w:val="none" w:sz="0" w:space="0" w:color="auto"/>
              <w:bottom w:val="single" w:sz="8" w:space="0" w:color="7BA0CD" w:themeColor="accent1" w:themeTint="BF"/>
              <w:right w:val="none" w:sz="0" w:space="0" w:color="auto"/>
            </w:tcBorders>
            <w:noWrap/>
            <w:vAlign w:val="center"/>
          </w:tcPr>
          <w:p w14:paraId="4C8F38B0" w14:textId="16EF02E7"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DC7C35">
              <w:t>Aeronautical and Aviation Technology</w:t>
            </w:r>
          </w:p>
        </w:tc>
        <w:tc>
          <w:tcPr>
            <w:tcW w:w="1080" w:type="dxa"/>
            <w:tcBorders>
              <w:left w:val="none" w:sz="0" w:space="0" w:color="auto"/>
              <w:bottom w:val="single" w:sz="8" w:space="0" w:color="7BA0CD" w:themeColor="accent1" w:themeTint="BF"/>
              <w:right w:val="none" w:sz="0" w:space="0" w:color="auto"/>
            </w:tcBorders>
            <w:noWrap/>
            <w:vAlign w:val="center"/>
          </w:tcPr>
          <w:p w14:paraId="2D7EA51C" w14:textId="190A9825"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20</w:t>
            </w:r>
          </w:p>
        </w:tc>
        <w:tc>
          <w:tcPr>
            <w:tcW w:w="1260" w:type="dxa"/>
            <w:tcBorders>
              <w:left w:val="none" w:sz="0" w:space="0" w:color="auto"/>
              <w:bottom w:val="single" w:sz="8" w:space="0" w:color="7BA0CD" w:themeColor="accent1" w:themeTint="BF"/>
              <w:right w:val="none" w:sz="0" w:space="0" w:color="auto"/>
            </w:tcBorders>
            <w:vAlign w:val="center"/>
          </w:tcPr>
          <w:p w14:paraId="6E90EF99" w14:textId="08F2AE08"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16</w:t>
            </w:r>
          </w:p>
        </w:tc>
        <w:tc>
          <w:tcPr>
            <w:tcW w:w="1350" w:type="dxa"/>
            <w:tcBorders>
              <w:left w:val="none" w:sz="0" w:space="0" w:color="auto"/>
              <w:bottom w:val="single" w:sz="8" w:space="0" w:color="7BA0CD" w:themeColor="accent1" w:themeTint="BF"/>
              <w:right w:val="none" w:sz="0" w:space="0" w:color="auto"/>
            </w:tcBorders>
            <w:noWrap/>
            <w:vAlign w:val="center"/>
          </w:tcPr>
          <w:p w14:paraId="4944A4E9" w14:textId="01163B3F"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14</w:t>
            </w:r>
          </w:p>
        </w:tc>
        <w:tc>
          <w:tcPr>
            <w:tcW w:w="900" w:type="dxa"/>
            <w:tcBorders>
              <w:left w:val="none" w:sz="0" w:space="0" w:color="auto"/>
              <w:bottom w:val="single" w:sz="8" w:space="0" w:color="7BA0CD" w:themeColor="accent1" w:themeTint="BF"/>
              <w:right w:val="none" w:sz="0" w:space="0" w:color="auto"/>
            </w:tcBorders>
            <w:vAlign w:val="center"/>
          </w:tcPr>
          <w:p w14:paraId="697760E0" w14:textId="0225839F"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4 </w:t>
            </w:r>
          </w:p>
        </w:tc>
        <w:tc>
          <w:tcPr>
            <w:tcW w:w="1098" w:type="dxa"/>
            <w:tcBorders>
              <w:left w:val="none" w:sz="0" w:space="0" w:color="auto"/>
              <w:bottom w:val="single" w:sz="8" w:space="0" w:color="7BA0CD" w:themeColor="accent1" w:themeTint="BF"/>
            </w:tcBorders>
            <w:noWrap/>
            <w:vAlign w:val="center"/>
          </w:tcPr>
          <w:p w14:paraId="23CC503C" w14:textId="00ACC60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$24.53 </w:t>
            </w:r>
          </w:p>
        </w:tc>
      </w:tr>
      <w:tr w:rsidR="00062BC5" w:rsidRPr="003B7F14" w14:paraId="40D3C607"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5E3A935A" w14:textId="6465475B" w:rsidR="00062BC5" w:rsidRPr="005947FE" w:rsidRDefault="00062BC5" w:rsidP="00062BC5">
            <w:pPr>
              <w:pStyle w:val="Tablenormalleft"/>
              <w:keepNext w:val="0"/>
              <w:widowControl w:val="0"/>
              <w:jc w:val="left"/>
              <w:rPr>
                <w:szCs w:val="18"/>
              </w:rPr>
            </w:pPr>
            <w:r w:rsidRPr="006016DA">
              <w:t>835.00</w:t>
            </w:r>
          </w:p>
        </w:tc>
        <w:tc>
          <w:tcPr>
            <w:tcW w:w="2970" w:type="dxa"/>
            <w:tcBorders>
              <w:left w:val="none" w:sz="0" w:space="0" w:color="auto"/>
              <w:bottom w:val="single" w:sz="8" w:space="0" w:color="7BA0CD" w:themeColor="accent1" w:themeTint="BF"/>
              <w:right w:val="none" w:sz="0" w:space="0" w:color="auto"/>
            </w:tcBorders>
            <w:noWrap/>
            <w:vAlign w:val="center"/>
          </w:tcPr>
          <w:p w14:paraId="0833D298" w14:textId="771B8059"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DC7C35">
              <w:t>Physical Education</w:t>
            </w:r>
          </w:p>
        </w:tc>
        <w:tc>
          <w:tcPr>
            <w:tcW w:w="1080" w:type="dxa"/>
            <w:tcBorders>
              <w:left w:val="none" w:sz="0" w:space="0" w:color="auto"/>
              <w:bottom w:val="single" w:sz="8" w:space="0" w:color="7BA0CD" w:themeColor="accent1" w:themeTint="BF"/>
              <w:right w:val="none" w:sz="0" w:space="0" w:color="auto"/>
            </w:tcBorders>
            <w:noWrap/>
            <w:vAlign w:val="center"/>
          </w:tcPr>
          <w:p w14:paraId="4722BE1A" w14:textId="720D3312"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3</w:t>
            </w:r>
          </w:p>
        </w:tc>
        <w:tc>
          <w:tcPr>
            <w:tcW w:w="1260" w:type="dxa"/>
            <w:tcBorders>
              <w:left w:val="none" w:sz="0" w:space="0" w:color="auto"/>
              <w:bottom w:val="single" w:sz="8" w:space="0" w:color="7BA0CD" w:themeColor="accent1" w:themeTint="BF"/>
              <w:right w:val="none" w:sz="0" w:space="0" w:color="auto"/>
            </w:tcBorders>
            <w:vAlign w:val="center"/>
          </w:tcPr>
          <w:p w14:paraId="1AE3BDB8" w14:textId="17BDF448"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3</w:t>
            </w:r>
          </w:p>
        </w:tc>
        <w:tc>
          <w:tcPr>
            <w:tcW w:w="1350" w:type="dxa"/>
            <w:tcBorders>
              <w:left w:val="none" w:sz="0" w:space="0" w:color="auto"/>
              <w:bottom w:val="single" w:sz="8" w:space="0" w:color="7BA0CD" w:themeColor="accent1" w:themeTint="BF"/>
              <w:right w:val="none" w:sz="0" w:space="0" w:color="auto"/>
            </w:tcBorders>
            <w:noWrap/>
            <w:vAlign w:val="center"/>
          </w:tcPr>
          <w:p w14:paraId="2DF20041" w14:textId="5B47E3B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3</w:t>
            </w:r>
          </w:p>
        </w:tc>
        <w:tc>
          <w:tcPr>
            <w:tcW w:w="900" w:type="dxa"/>
            <w:tcBorders>
              <w:left w:val="none" w:sz="0" w:space="0" w:color="auto"/>
              <w:bottom w:val="single" w:sz="8" w:space="0" w:color="7BA0CD" w:themeColor="accent1" w:themeTint="BF"/>
              <w:right w:val="none" w:sz="0" w:space="0" w:color="auto"/>
            </w:tcBorders>
            <w:vAlign w:val="center"/>
          </w:tcPr>
          <w:p w14:paraId="3800913C" w14:textId="40C4FD76"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0 </w:t>
            </w:r>
          </w:p>
        </w:tc>
        <w:tc>
          <w:tcPr>
            <w:tcW w:w="1098" w:type="dxa"/>
            <w:tcBorders>
              <w:left w:val="none" w:sz="0" w:space="0" w:color="auto"/>
              <w:bottom w:val="single" w:sz="8" w:space="0" w:color="7BA0CD" w:themeColor="accent1" w:themeTint="BF"/>
            </w:tcBorders>
            <w:noWrap/>
            <w:vAlign w:val="center"/>
          </w:tcPr>
          <w:p w14:paraId="08D0798D" w14:textId="08565047"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$29.11 </w:t>
            </w:r>
          </w:p>
        </w:tc>
      </w:tr>
      <w:tr w:rsidR="00062BC5" w:rsidRPr="003B7F14" w14:paraId="33CB07E2"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1128B2A8" w14:textId="77818D8E" w:rsidR="00062BC5" w:rsidRPr="005947FE" w:rsidRDefault="00062BC5" w:rsidP="00062BC5">
            <w:pPr>
              <w:pStyle w:val="Tablenormalleft"/>
              <w:keepNext w:val="0"/>
              <w:widowControl w:val="0"/>
              <w:jc w:val="left"/>
              <w:rPr>
                <w:szCs w:val="18"/>
              </w:rPr>
            </w:pPr>
            <w:r w:rsidRPr="006016DA">
              <w:t>614.60</w:t>
            </w:r>
          </w:p>
        </w:tc>
        <w:tc>
          <w:tcPr>
            <w:tcW w:w="2970" w:type="dxa"/>
            <w:tcBorders>
              <w:left w:val="none" w:sz="0" w:space="0" w:color="auto"/>
              <w:bottom w:val="single" w:sz="8" w:space="0" w:color="7BA0CD" w:themeColor="accent1" w:themeTint="BF"/>
              <w:right w:val="none" w:sz="0" w:space="0" w:color="auto"/>
            </w:tcBorders>
            <w:noWrap/>
            <w:vAlign w:val="center"/>
          </w:tcPr>
          <w:p w14:paraId="615A9692" w14:textId="2FB06A61"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DC7C35">
              <w:t>Computer Graphics and Digital Imagery</w:t>
            </w:r>
          </w:p>
        </w:tc>
        <w:tc>
          <w:tcPr>
            <w:tcW w:w="1080" w:type="dxa"/>
            <w:tcBorders>
              <w:left w:val="none" w:sz="0" w:space="0" w:color="auto"/>
              <w:bottom w:val="single" w:sz="8" w:space="0" w:color="7BA0CD" w:themeColor="accent1" w:themeTint="BF"/>
              <w:right w:val="none" w:sz="0" w:space="0" w:color="auto"/>
            </w:tcBorders>
            <w:noWrap/>
            <w:vAlign w:val="center"/>
          </w:tcPr>
          <w:p w14:paraId="6B4F3A13" w14:textId="5D3CA027"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0</w:t>
            </w:r>
          </w:p>
        </w:tc>
        <w:tc>
          <w:tcPr>
            <w:tcW w:w="1260" w:type="dxa"/>
            <w:tcBorders>
              <w:left w:val="none" w:sz="0" w:space="0" w:color="auto"/>
              <w:bottom w:val="single" w:sz="8" w:space="0" w:color="7BA0CD" w:themeColor="accent1" w:themeTint="BF"/>
              <w:right w:val="none" w:sz="0" w:space="0" w:color="auto"/>
            </w:tcBorders>
            <w:vAlign w:val="center"/>
          </w:tcPr>
          <w:p w14:paraId="5973DF57" w14:textId="0FB8147C"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0</w:t>
            </w:r>
          </w:p>
        </w:tc>
        <w:tc>
          <w:tcPr>
            <w:tcW w:w="1350" w:type="dxa"/>
            <w:tcBorders>
              <w:left w:val="none" w:sz="0" w:space="0" w:color="auto"/>
              <w:bottom w:val="single" w:sz="8" w:space="0" w:color="7BA0CD" w:themeColor="accent1" w:themeTint="BF"/>
              <w:right w:val="none" w:sz="0" w:space="0" w:color="auto"/>
            </w:tcBorders>
            <w:noWrap/>
            <w:vAlign w:val="center"/>
          </w:tcPr>
          <w:p w14:paraId="4D4BF0C9" w14:textId="470924DD"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0</w:t>
            </w:r>
          </w:p>
        </w:tc>
        <w:tc>
          <w:tcPr>
            <w:tcW w:w="900" w:type="dxa"/>
            <w:tcBorders>
              <w:left w:val="none" w:sz="0" w:space="0" w:color="auto"/>
              <w:bottom w:val="single" w:sz="8" w:space="0" w:color="7BA0CD" w:themeColor="accent1" w:themeTint="BF"/>
              <w:right w:val="none" w:sz="0" w:space="0" w:color="auto"/>
            </w:tcBorders>
            <w:vAlign w:val="center"/>
          </w:tcPr>
          <w:p w14:paraId="7561233C" w14:textId="32301873"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(0)</w:t>
            </w:r>
          </w:p>
        </w:tc>
        <w:tc>
          <w:tcPr>
            <w:tcW w:w="1098" w:type="dxa"/>
            <w:tcBorders>
              <w:left w:val="none" w:sz="0" w:space="0" w:color="auto"/>
              <w:bottom w:val="single" w:sz="8" w:space="0" w:color="7BA0CD" w:themeColor="accent1" w:themeTint="BF"/>
            </w:tcBorders>
            <w:noWrap/>
            <w:vAlign w:val="center"/>
          </w:tcPr>
          <w:p w14:paraId="2A91BB4B" w14:textId="3BF60BBA"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$24.81 </w:t>
            </w:r>
          </w:p>
        </w:tc>
      </w:tr>
      <w:tr w:rsidR="00062BC5" w:rsidRPr="003B7F14" w14:paraId="7DA1FED6"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3D74DC79" w14:textId="3938FFB8" w:rsidR="00062BC5" w:rsidRPr="005947FE" w:rsidRDefault="00062BC5" w:rsidP="00062BC5">
            <w:pPr>
              <w:pStyle w:val="Tablenormalleft"/>
              <w:keepNext w:val="0"/>
              <w:widowControl w:val="0"/>
              <w:jc w:val="left"/>
              <w:rPr>
                <w:szCs w:val="18"/>
              </w:rPr>
            </w:pPr>
            <w:r w:rsidRPr="006016DA">
              <w:t>505.00</w:t>
            </w:r>
          </w:p>
        </w:tc>
        <w:tc>
          <w:tcPr>
            <w:tcW w:w="2970" w:type="dxa"/>
            <w:tcBorders>
              <w:left w:val="none" w:sz="0" w:space="0" w:color="auto"/>
              <w:bottom w:val="single" w:sz="8" w:space="0" w:color="7BA0CD" w:themeColor="accent1" w:themeTint="BF"/>
              <w:right w:val="none" w:sz="0" w:space="0" w:color="auto"/>
            </w:tcBorders>
            <w:noWrap/>
            <w:vAlign w:val="center"/>
          </w:tcPr>
          <w:p w14:paraId="473AD24B" w14:textId="5C40465F"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DC7C35">
              <w:t>Business Administration</w:t>
            </w:r>
            <w:r w:rsidR="00BF5DBF">
              <w:t xml:space="preserve"> (CIP 52.0299)</w:t>
            </w:r>
          </w:p>
        </w:tc>
        <w:tc>
          <w:tcPr>
            <w:tcW w:w="1080" w:type="dxa"/>
            <w:tcBorders>
              <w:left w:val="none" w:sz="0" w:space="0" w:color="auto"/>
              <w:bottom w:val="single" w:sz="8" w:space="0" w:color="7BA0CD" w:themeColor="accent1" w:themeTint="BF"/>
              <w:right w:val="none" w:sz="0" w:space="0" w:color="auto"/>
            </w:tcBorders>
            <w:noWrap/>
            <w:vAlign w:val="center"/>
          </w:tcPr>
          <w:p w14:paraId="36A253E6" w14:textId="757D10DD"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3</w:t>
            </w:r>
          </w:p>
        </w:tc>
        <w:tc>
          <w:tcPr>
            <w:tcW w:w="1260" w:type="dxa"/>
            <w:tcBorders>
              <w:left w:val="none" w:sz="0" w:space="0" w:color="auto"/>
              <w:bottom w:val="single" w:sz="8" w:space="0" w:color="7BA0CD" w:themeColor="accent1" w:themeTint="BF"/>
              <w:right w:val="none" w:sz="0" w:space="0" w:color="auto"/>
            </w:tcBorders>
            <w:vAlign w:val="center"/>
          </w:tcPr>
          <w:p w14:paraId="0C79716E" w14:textId="54F49E93"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4</w:t>
            </w:r>
          </w:p>
        </w:tc>
        <w:tc>
          <w:tcPr>
            <w:tcW w:w="1350" w:type="dxa"/>
            <w:tcBorders>
              <w:left w:val="none" w:sz="0" w:space="0" w:color="auto"/>
              <w:bottom w:val="single" w:sz="8" w:space="0" w:color="7BA0CD" w:themeColor="accent1" w:themeTint="BF"/>
              <w:right w:val="none" w:sz="0" w:space="0" w:color="auto"/>
            </w:tcBorders>
            <w:noWrap/>
            <w:vAlign w:val="center"/>
          </w:tcPr>
          <w:p w14:paraId="2A013864" w14:textId="528A8AF2"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4</w:t>
            </w:r>
          </w:p>
        </w:tc>
        <w:tc>
          <w:tcPr>
            <w:tcW w:w="900" w:type="dxa"/>
            <w:tcBorders>
              <w:left w:val="none" w:sz="0" w:space="0" w:color="auto"/>
              <w:bottom w:val="single" w:sz="8" w:space="0" w:color="7BA0CD" w:themeColor="accent1" w:themeTint="BF"/>
              <w:right w:val="none" w:sz="0" w:space="0" w:color="auto"/>
            </w:tcBorders>
            <w:vAlign w:val="center"/>
          </w:tcPr>
          <w:p w14:paraId="0BDD2D59" w14:textId="538FF9EE"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(1)</w:t>
            </w:r>
          </w:p>
        </w:tc>
        <w:tc>
          <w:tcPr>
            <w:tcW w:w="1098" w:type="dxa"/>
            <w:tcBorders>
              <w:left w:val="none" w:sz="0" w:space="0" w:color="auto"/>
              <w:bottom w:val="single" w:sz="8" w:space="0" w:color="7BA0CD" w:themeColor="accent1" w:themeTint="BF"/>
            </w:tcBorders>
            <w:noWrap/>
            <w:vAlign w:val="center"/>
          </w:tcPr>
          <w:p w14:paraId="3F215AB7" w14:textId="5EE1DD1D"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$22.06 </w:t>
            </w:r>
          </w:p>
        </w:tc>
      </w:tr>
      <w:tr w:rsidR="00062BC5" w:rsidRPr="003B7F14" w14:paraId="36B30FAA"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6CF81227" w14:textId="3CF291F6" w:rsidR="00062BC5" w:rsidRPr="005947FE" w:rsidRDefault="00062BC5" w:rsidP="00062BC5">
            <w:pPr>
              <w:pStyle w:val="Tablenormalleft"/>
              <w:keepNext w:val="0"/>
              <w:widowControl w:val="0"/>
              <w:jc w:val="left"/>
              <w:rPr>
                <w:szCs w:val="18"/>
              </w:rPr>
            </w:pPr>
            <w:r w:rsidRPr="006016DA">
              <w:t>114.00</w:t>
            </w:r>
          </w:p>
        </w:tc>
        <w:tc>
          <w:tcPr>
            <w:tcW w:w="2970" w:type="dxa"/>
            <w:tcBorders>
              <w:left w:val="none" w:sz="0" w:space="0" w:color="auto"/>
              <w:bottom w:val="single" w:sz="8" w:space="0" w:color="7BA0CD" w:themeColor="accent1" w:themeTint="BF"/>
              <w:right w:val="none" w:sz="0" w:space="0" w:color="auto"/>
            </w:tcBorders>
            <w:noWrap/>
            <w:vAlign w:val="center"/>
          </w:tcPr>
          <w:p w14:paraId="03DD6080" w14:textId="1E830EAE"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DC7C35">
              <w:t>Forestry</w:t>
            </w:r>
            <w:r w:rsidR="00BF5DBF">
              <w:t xml:space="preserve"> (CIP 3.0599)</w:t>
            </w:r>
          </w:p>
        </w:tc>
        <w:tc>
          <w:tcPr>
            <w:tcW w:w="1080" w:type="dxa"/>
            <w:tcBorders>
              <w:left w:val="none" w:sz="0" w:space="0" w:color="auto"/>
              <w:bottom w:val="single" w:sz="8" w:space="0" w:color="7BA0CD" w:themeColor="accent1" w:themeTint="BF"/>
              <w:right w:val="none" w:sz="0" w:space="0" w:color="auto"/>
            </w:tcBorders>
            <w:noWrap/>
            <w:vAlign w:val="center"/>
          </w:tcPr>
          <w:p w14:paraId="5ECBCB6A" w14:textId="24AF90B9"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0</w:t>
            </w:r>
          </w:p>
        </w:tc>
        <w:tc>
          <w:tcPr>
            <w:tcW w:w="1260" w:type="dxa"/>
            <w:tcBorders>
              <w:left w:val="none" w:sz="0" w:space="0" w:color="auto"/>
              <w:bottom w:val="single" w:sz="8" w:space="0" w:color="7BA0CD" w:themeColor="accent1" w:themeTint="BF"/>
              <w:right w:val="none" w:sz="0" w:space="0" w:color="auto"/>
            </w:tcBorders>
            <w:vAlign w:val="center"/>
          </w:tcPr>
          <w:p w14:paraId="4B479532" w14:textId="5875C429"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2</w:t>
            </w:r>
          </w:p>
        </w:tc>
        <w:tc>
          <w:tcPr>
            <w:tcW w:w="1350" w:type="dxa"/>
            <w:tcBorders>
              <w:left w:val="none" w:sz="0" w:space="0" w:color="auto"/>
              <w:bottom w:val="single" w:sz="8" w:space="0" w:color="7BA0CD" w:themeColor="accent1" w:themeTint="BF"/>
              <w:right w:val="none" w:sz="0" w:space="0" w:color="auto"/>
            </w:tcBorders>
            <w:noWrap/>
            <w:vAlign w:val="center"/>
          </w:tcPr>
          <w:p w14:paraId="14338A64" w14:textId="682442FB"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2</w:t>
            </w:r>
          </w:p>
        </w:tc>
        <w:tc>
          <w:tcPr>
            <w:tcW w:w="900" w:type="dxa"/>
            <w:tcBorders>
              <w:left w:val="none" w:sz="0" w:space="0" w:color="auto"/>
              <w:bottom w:val="single" w:sz="8" w:space="0" w:color="7BA0CD" w:themeColor="accent1" w:themeTint="BF"/>
              <w:right w:val="none" w:sz="0" w:space="0" w:color="auto"/>
            </w:tcBorders>
            <w:vAlign w:val="center"/>
          </w:tcPr>
          <w:p w14:paraId="1850CF09" w14:textId="42C5B343"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w:t>
            </w:r>
          </w:p>
        </w:tc>
        <w:tc>
          <w:tcPr>
            <w:tcW w:w="1098" w:type="dxa"/>
            <w:tcBorders>
              <w:left w:val="none" w:sz="0" w:space="0" w:color="auto"/>
              <w:bottom w:val="single" w:sz="8" w:space="0" w:color="7BA0CD" w:themeColor="accent1" w:themeTint="BF"/>
            </w:tcBorders>
            <w:noWrap/>
            <w:vAlign w:val="center"/>
          </w:tcPr>
          <w:p w14:paraId="6F23424A" w14:textId="49CABC4B"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$16.43 </w:t>
            </w:r>
          </w:p>
        </w:tc>
      </w:tr>
      <w:tr w:rsidR="00062BC5" w:rsidRPr="003B7F14" w14:paraId="66F32369"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5B1C273A" w14:textId="7A900547" w:rsidR="00062BC5" w:rsidRPr="005947FE" w:rsidRDefault="00062BC5" w:rsidP="00062BC5">
            <w:pPr>
              <w:pStyle w:val="Tablenormalleft"/>
              <w:keepNext w:val="0"/>
              <w:widowControl w:val="0"/>
              <w:jc w:val="left"/>
              <w:rPr>
                <w:szCs w:val="18"/>
              </w:rPr>
            </w:pPr>
            <w:r w:rsidRPr="006016DA">
              <w:t>702.00</w:t>
            </w:r>
          </w:p>
        </w:tc>
        <w:tc>
          <w:tcPr>
            <w:tcW w:w="2970" w:type="dxa"/>
            <w:tcBorders>
              <w:left w:val="none" w:sz="0" w:space="0" w:color="auto"/>
              <w:bottom w:val="single" w:sz="8" w:space="0" w:color="7BA0CD" w:themeColor="accent1" w:themeTint="BF"/>
              <w:right w:val="none" w:sz="0" w:space="0" w:color="auto"/>
            </w:tcBorders>
            <w:noWrap/>
            <w:vAlign w:val="center"/>
          </w:tcPr>
          <w:p w14:paraId="6219C917" w14:textId="6B2E89DB"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DC7C35">
              <w:t>Computer Information Systems</w:t>
            </w:r>
          </w:p>
        </w:tc>
        <w:tc>
          <w:tcPr>
            <w:tcW w:w="1080" w:type="dxa"/>
            <w:tcBorders>
              <w:left w:val="none" w:sz="0" w:space="0" w:color="auto"/>
              <w:bottom w:val="single" w:sz="8" w:space="0" w:color="7BA0CD" w:themeColor="accent1" w:themeTint="BF"/>
              <w:right w:val="none" w:sz="0" w:space="0" w:color="auto"/>
            </w:tcBorders>
            <w:noWrap/>
            <w:vAlign w:val="center"/>
          </w:tcPr>
          <w:p w14:paraId="12445C36" w14:textId="680E8AD5"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w:t>
            </w:r>
          </w:p>
        </w:tc>
        <w:tc>
          <w:tcPr>
            <w:tcW w:w="1260" w:type="dxa"/>
            <w:tcBorders>
              <w:left w:val="none" w:sz="0" w:space="0" w:color="auto"/>
              <w:bottom w:val="single" w:sz="8" w:space="0" w:color="7BA0CD" w:themeColor="accent1" w:themeTint="BF"/>
              <w:right w:val="none" w:sz="0" w:space="0" w:color="auto"/>
            </w:tcBorders>
            <w:vAlign w:val="center"/>
          </w:tcPr>
          <w:p w14:paraId="639249D3" w14:textId="09A035E8"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4</w:t>
            </w:r>
          </w:p>
        </w:tc>
        <w:tc>
          <w:tcPr>
            <w:tcW w:w="1350" w:type="dxa"/>
            <w:tcBorders>
              <w:left w:val="none" w:sz="0" w:space="0" w:color="auto"/>
              <w:bottom w:val="single" w:sz="8" w:space="0" w:color="7BA0CD" w:themeColor="accent1" w:themeTint="BF"/>
              <w:right w:val="none" w:sz="0" w:space="0" w:color="auto"/>
            </w:tcBorders>
            <w:noWrap/>
            <w:vAlign w:val="center"/>
          </w:tcPr>
          <w:p w14:paraId="7E27050E" w14:textId="6A8EFE88"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w:t>
            </w:r>
          </w:p>
        </w:tc>
        <w:tc>
          <w:tcPr>
            <w:tcW w:w="900" w:type="dxa"/>
            <w:tcBorders>
              <w:left w:val="none" w:sz="0" w:space="0" w:color="auto"/>
              <w:bottom w:val="single" w:sz="8" w:space="0" w:color="7BA0CD" w:themeColor="accent1" w:themeTint="BF"/>
              <w:right w:val="none" w:sz="0" w:space="0" w:color="auto"/>
            </w:tcBorders>
            <w:vAlign w:val="center"/>
          </w:tcPr>
          <w:p w14:paraId="39F9EF62" w14:textId="24F225D3"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w:t>
            </w:r>
          </w:p>
        </w:tc>
        <w:tc>
          <w:tcPr>
            <w:tcW w:w="1098" w:type="dxa"/>
            <w:tcBorders>
              <w:left w:val="none" w:sz="0" w:space="0" w:color="auto"/>
              <w:bottom w:val="single" w:sz="8" w:space="0" w:color="7BA0CD" w:themeColor="accent1" w:themeTint="BF"/>
            </w:tcBorders>
            <w:noWrap/>
            <w:vAlign w:val="center"/>
          </w:tcPr>
          <w:p w14:paraId="446161D6" w14:textId="744B522E"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$35.70 </w:t>
            </w:r>
          </w:p>
        </w:tc>
      </w:tr>
      <w:tr w:rsidR="00062BC5" w:rsidRPr="003B7F14" w14:paraId="70EA2488"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53E7716A" w14:textId="3E3ED221" w:rsidR="00062BC5" w:rsidRPr="005947FE" w:rsidRDefault="00062BC5" w:rsidP="00062BC5">
            <w:pPr>
              <w:pStyle w:val="Tablenormalleft"/>
              <w:keepNext w:val="0"/>
              <w:widowControl w:val="0"/>
              <w:jc w:val="left"/>
              <w:rPr>
                <w:szCs w:val="18"/>
              </w:rPr>
            </w:pPr>
            <w:r w:rsidRPr="006016DA">
              <w:t>115.10</w:t>
            </w:r>
          </w:p>
        </w:tc>
        <w:tc>
          <w:tcPr>
            <w:tcW w:w="2970" w:type="dxa"/>
            <w:tcBorders>
              <w:left w:val="none" w:sz="0" w:space="0" w:color="auto"/>
              <w:bottom w:val="single" w:sz="8" w:space="0" w:color="7BA0CD" w:themeColor="accent1" w:themeTint="BF"/>
              <w:right w:val="none" w:sz="0" w:space="0" w:color="auto"/>
            </w:tcBorders>
            <w:noWrap/>
            <w:vAlign w:val="center"/>
          </w:tcPr>
          <w:p w14:paraId="70F6DA21" w14:textId="00D43068"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DC7C35">
              <w:t>Parks and Outdoor Recreation</w:t>
            </w:r>
          </w:p>
        </w:tc>
        <w:tc>
          <w:tcPr>
            <w:tcW w:w="1080" w:type="dxa"/>
            <w:tcBorders>
              <w:left w:val="none" w:sz="0" w:space="0" w:color="auto"/>
              <w:bottom w:val="single" w:sz="8" w:space="0" w:color="7BA0CD" w:themeColor="accent1" w:themeTint="BF"/>
              <w:right w:val="none" w:sz="0" w:space="0" w:color="auto"/>
            </w:tcBorders>
            <w:noWrap/>
            <w:vAlign w:val="center"/>
          </w:tcPr>
          <w:p w14:paraId="491B1009" w14:textId="7A4BC2A7"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2</w:t>
            </w:r>
          </w:p>
        </w:tc>
        <w:tc>
          <w:tcPr>
            <w:tcW w:w="1260" w:type="dxa"/>
            <w:tcBorders>
              <w:left w:val="none" w:sz="0" w:space="0" w:color="auto"/>
              <w:bottom w:val="single" w:sz="8" w:space="0" w:color="7BA0CD" w:themeColor="accent1" w:themeTint="BF"/>
              <w:right w:val="none" w:sz="0" w:space="0" w:color="auto"/>
            </w:tcBorders>
            <w:vAlign w:val="center"/>
          </w:tcPr>
          <w:p w14:paraId="2E430043" w14:textId="4E725E5D"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4</w:t>
            </w:r>
          </w:p>
        </w:tc>
        <w:tc>
          <w:tcPr>
            <w:tcW w:w="1350" w:type="dxa"/>
            <w:tcBorders>
              <w:left w:val="none" w:sz="0" w:space="0" w:color="auto"/>
              <w:bottom w:val="single" w:sz="8" w:space="0" w:color="7BA0CD" w:themeColor="accent1" w:themeTint="BF"/>
              <w:right w:val="none" w:sz="0" w:space="0" w:color="auto"/>
            </w:tcBorders>
            <w:noWrap/>
            <w:vAlign w:val="center"/>
          </w:tcPr>
          <w:p w14:paraId="5B6DDFC2" w14:textId="191DE553"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4</w:t>
            </w:r>
          </w:p>
        </w:tc>
        <w:tc>
          <w:tcPr>
            <w:tcW w:w="900" w:type="dxa"/>
            <w:tcBorders>
              <w:left w:val="none" w:sz="0" w:space="0" w:color="auto"/>
              <w:bottom w:val="single" w:sz="8" w:space="0" w:color="7BA0CD" w:themeColor="accent1" w:themeTint="BF"/>
              <w:right w:val="none" w:sz="0" w:space="0" w:color="auto"/>
            </w:tcBorders>
            <w:vAlign w:val="center"/>
          </w:tcPr>
          <w:p w14:paraId="212DF204" w14:textId="5302A1AB"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(2)</w:t>
            </w:r>
          </w:p>
        </w:tc>
        <w:tc>
          <w:tcPr>
            <w:tcW w:w="1098" w:type="dxa"/>
            <w:tcBorders>
              <w:left w:val="none" w:sz="0" w:space="0" w:color="auto"/>
              <w:bottom w:val="single" w:sz="8" w:space="0" w:color="7BA0CD" w:themeColor="accent1" w:themeTint="BF"/>
            </w:tcBorders>
            <w:noWrap/>
            <w:vAlign w:val="center"/>
          </w:tcPr>
          <w:p w14:paraId="7AAA4370" w14:textId="6E36C8B2"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$10.75 </w:t>
            </w:r>
          </w:p>
        </w:tc>
      </w:tr>
      <w:tr w:rsidR="00062BC5" w:rsidRPr="003B7F14" w14:paraId="1FC905C2"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0CC4898A" w14:textId="021CBA77" w:rsidR="00062BC5" w:rsidRPr="005947FE" w:rsidRDefault="00062BC5" w:rsidP="00062BC5">
            <w:pPr>
              <w:pStyle w:val="Tablenormalleft"/>
              <w:keepNext w:val="0"/>
              <w:widowControl w:val="0"/>
              <w:jc w:val="left"/>
              <w:rPr>
                <w:szCs w:val="18"/>
              </w:rPr>
            </w:pPr>
            <w:r w:rsidRPr="006016DA">
              <w:t>114.00</w:t>
            </w:r>
          </w:p>
        </w:tc>
        <w:tc>
          <w:tcPr>
            <w:tcW w:w="2970" w:type="dxa"/>
            <w:tcBorders>
              <w:left w:val="none" w:sz="0" w:space="0" w:color="auto"/>
              <w:bottom w:val="single" w:sz="8" w:space="0" w:color="7BA0CD" w:themeColor="accent1" w:themeTint="BF"/>
              <w:right w:val="none" w:sz="0" w:space="0" w:color="auto"/>
            </w:tcBorders>
            <w:noWrap/>
            <w:vAlign w:val="center"/>
          </w:tcPr>
          <w:p w14:paraId="6ADD22DC" w14:textId="25AF5C2B"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DC7C35">
              <w:t>Forestry</w:t>
            </w:r>
            <w:r w:rsidR="00AA69F5">
              <w:t xml:space="preserve"> (CIP 3.0511)</w:t>
            </w:r>
          </w:p>
        </w:tc>
        <w:tc>
          <w:tcPr>
            <w:tcW w:w="1080" w:type="dxa"/>
            <w:tcBorders>
              <w:left w:val="none" w:sz="0" w:space="0" w:color="auto"/>
              <w:bottom w:val="single" w:sz="8" w:space="0" w:color="7BA0CD" w:themeColor="accent1" w:themeTint="BF"/>
              <w:right w:val="none" w:sz="0" w:space="0" w:color="auto"/>
            </w:tcBorders>
            <w:noWrap/>
            <w:vAlign w:val="center"/>
          </w:tcPr>
          <w:p w14:paraId="408F46CF" w14:textId="0DA84763"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w:t>
            </w:r>
          </w:p>
        </w:tc>
        <w:tc>
          <w:tcPr>
            <w:tcW w:w="1260" w:type="dxa"/>
            <w:tcBorders>
              <w:left w:val="none" w:sz="0" w:space="0" w:color="auto"/>
              <w:bottom w:val="single" w:sz="8" w:space="0" w:color="7BA0CD" w:themeColor="accent1" w:themeTint="BF"/>
              <w:right w:val="none" w:sz="0" w:space="0" w:color="auto"/>
            </w:tcBorders>
            <w:vAlign w:val="center"/>
          </w:tcPr>
          <w:p w14:paraId="539C5AD3" w14:textId="7810AF74"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4</w:t>
            </w:r>
          </w:p>
        </w:tc>
        <w:tc>
          <w:tcPr>
            <w:tcW w:w="1350" w:type="dxa"/>
            <w:tcBorders>
              <w:left w:val="none" w:sz="0" w:space="0" w:color="auto"/>
              <w:bottom w:val="single" w:sz="8" w:space="0" w:color="7BA0CD" w:themeColor="accent1" w:themeTint="BF"/>
              <w:right w:val="none" w:sz="0" w:space="0" w:color="auto"/>
            </w:tcBorders>
            <w:noWrap/>
            <w:vAlign w:val="center"/>
          </w:tcPr>
          <w:p w14:paraId="30553283" w14:textId="1E6F28FB"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4</w:t>
            </w:r>
          </w:p>
        </w:tc>
        <w:tc>
          <w:tcPr>
            <w:tcW w:w="900" w:type="dxa"/>
            <w:tcBorders>
              <w:left w:val="none" w:sz="0" w:space="0" w:color="auto"/>
              <w:bottom w:val="single" w:sz="8" w:space="0" w:color="7BA0CD" w:themeColor="accent1" w:themeTint="BF"/>
              <w:right w:val="none" w:sz="0" w:space="0" w:color="auto"/>
            </w:tcBorders>
            <w:vAlign w:val="center"/>
          </w:tcPr>
          <w:p w14:paraId="4F7F879B" w14:textId="438E6C62"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w:t>
            </w:r>
          </w:p>
        </w:tc>
        <w:tc>
          <w:tcPr>
            <w:tcW w:w="1098" w:type="dxa"/>
            <w:tcBorders>
              <w:left w:val="none" w:sz="0" w:space="0" w:color="auto"/>
              <w:bottom w:val="single" w:sz="8" w:space="0" w:color="7BA0CD" w:themeColor="accent1" w:themeTint="BF"/>
            </w:tcBorders>
            <w:noWrap/>
            <w:vAlign w:val="center"/>
          </w:tcPr>
          <w:p w14:paraId="6A82321A" w14:textId="4FC3E90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$14.25 </w:t>
            </w:r>
          </w:p>
        </w:tc>
      </w:tr>
      <w:tr w:rsidR="00062BC5" w:rsidRPr="003B7F14" w14:paraId="4BE83EC6"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59C20EA1" w14:textId="1E97C2BA" w:rsidR="00062BC5" w:rsidRPr="005947FE" w:rsidRDefault="00062BC5" w:rsidP="00062BC5">
            <w:pPr>
              <w:pStyle w:val="Tablenormalleft"/>
              <w:keepNext w:val="0"/>
              <w:widowControl w:val="0"/>
              <w:jc w:val="left"/>
              <w:rPr>
                <w:szCs w:val="18"/>
              </w:rPr>
            </w:pPr>
            <w:r w:rsidRPr="006016DA">
              <w:t>501.00</w:t>
            </w:r>
          </w:p>
        </w:tc>
        <w:tc>
          <w:tcPr>
            <w:tcW w:w="2970" w:type="dxa"/>
            <w:tcBorders>
              <w:left w:val="none" w:sz="0" w:space="0" w:color="auto"/>
              <w:bottom w:val="single" w:sz="8" w:space="0" w:color="7BA0CD" w:themeColor="accent1" w:themeTint="BF"/>
              <w:right w:val="none" w:sz="0" w:space="0" w:color="auto"/>
            </w:tcBorders>
            <w:noWrap/>
            <w:vAlign w:val="center"/>
          </w:tcPr>
          <w:p w14:paraId="04B80F95" w14:textId="7228EE28"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DC7C35">
              <w:t xml:space="preserve">Business and </w:t>
            </w:r>
            <w:r w:rsidR="006C38C7" w:rsidRPr="00DC7C35">
              <w:t>Comme</w:t>
            </w:r>
            <w:r w:rsidR="006C38C7">
              <w:t>nce</w:t>
            </w:r>
            <w:r w:rsidRPr="00DC7C35">
              <w:t>, General</w:t>
            </w:r>
          </w:p>
        </w:tc>
        <w:tc>
          <w:tcPr>
            <w:tcW w:w="1080" w:type="dxa"/>
            <w:tcBorders>
              <w:left w:val="none" w:sz="0" w:space="0" w:color="auto"/>
              <w:bottom w:val="single" w:sz="8" w:space="0" w:color="7BA0CD" w:themeColor="accent1" w:themeTint="BF"/>
              <w:right w:val="none" w:sz="0" w:space="0" w:color="auto"/>
            </w:tcBorders>
            <w:noWrap/>
            <w:vAlign w:val="center"/>
          </w:tcPr>
          <w:p w14:paraId="243A797C" w14:textId="46ED5C6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4</w:t>
            </w:r>
          </w:p>
        </w:tc>
        <w:tc>
          <w:tcPr>
            <w:tcW w:w="1260" w:type="dxa"/>
            <w:tcBorders>
              <w:left w:val="none" w:sz="0" w:space="0" w:color="auto"/>
              <w:bottom w:val="single" w:sz="8" w:space="0" w:color="7BA0CD" w:themeColor="accent1" w:themeTint="BF"/>
              <w:right w:val="none" w:sz="0" w:space="0" w:color="auto"/>
            </w:tcBorders>
            <w:vAlign w:val="center"/>
          </w:tcPr>
          <w:p w14:paraId="72533FEB" w14:textId="2A033D5A"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6</w:t>
            </w:r>
          </w:p>
        </w:tc>
        <w:tc>
          <w:tcPr>
            <w:tcW w:w="1350" w:type="dxa"/>
            <w:tcBorders>
              <w:left w:val="none" w:sz="0" w:space="0" w:color="auto"/>
              <w:bottom w:val="single" w:sz="8" w:space="0" w:color="7BA0CD" w:themeColor="accent1" w:themeTint="BF"/>
              <w:right w:val="none" w:sz="0" w:space="0" w:color="auto"/>
            </w:tcBorders>
            <w:noWrap/>
            <w:vAlign w:val="center"/>
          </w:tcPr>
          <w:p w14:paraId="7EC80B36" w14:textId="3CE88086"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3</w:t>
            </w:r>
          </w:p>
        </w:tc>
        <w:tc>
          <w:tcPr>
            <w:tcW w:w="900" w:type="dxa"/>
            <w:tcBorders>
              <w:left w:val="none" w:sz="0" w:space="0" w:color="auto"/>
              <w:bottom w:val="single" w:sz="8" w:space="0" w:color="7BA0CD" w:themeColor="accent1" w:themeTint="BF"/>
              <w:right w:val="none" w:sz="0" w:space="0" w:color="auto"/>
            </w:tcBorders>
            <w:vAlign w:val="center"/>
          </w:tcPr>
          <w:p w14:paraId="5B630596" w14:textId="523B58B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(2)</w:t>
            </w:r>
          </w:p>
        </w:tc>
        <w:tc>
          <w:tcPr>
            <w:tcW w:w="1098" w:type="dxa"/>
            <w:tcBorders>
              <w:left w:val="none" w:sz="0" w:space="0" w:color="auto"/>
              <w:bottom w:val="single" w:sz="8" w:space="0" w:color="7BA0CD" w:themeColor="accent1" w:themeTint="BF"/>
            </w:tcBorders>
            <w:noWrap/>
            <w:vAlign w:val="center"/>
          </w:tcPr>
          <w:p w14:paraId="00DA25C9" w14:textId="6BD6B7F0"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$36.61 </w:t>
            </w:r>
          </w:p>
        </w:tc>
      </w:tr>
      <w:tr w:rsidR="00062BC5" w:rsidRPr="003B7F14" w14:paraId="02FB4788"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70CFDB49" w14:textId="4F5AD05D" w:rsidR="00062BC5" w:rsidRPr="005947FE" w:rsidRDefault="00062BC5" w:rsidP="00062BC5">
            <w:pPr>
              <w:pStyle w:val="Tablenormalleft"/>
              <w:keepNext w:val="0"/>
              <w:widowControl w:val="0"/>
              <w:jc w:val="left"/>
              <w:rPr>
                <w:szCs w:val="18"/>
              </w:rPr>
            </w:pPr>
            <w:r w:rsidRPr="006016DA">
              <w:t>103.00</w:t>
            </w:r>
          </w:p>
        </w:tc>
        <w:tc>
          <w:tcPr>
            <w:tcW w:w="2970" w:type="dxa"/>
            <w:tcBorders>
              <w:left w:val="none" w:sz="0" w:space="0" w:color="auto"/>
              <w:bottom w:val="single" w:sz="8" w:space="0" w:color="7BA0CD" w:themeColor="accent1" w:themeTint="BF"/>
              <w:right w:val="none" w:sz="0" w:space="0" w:color="auto"/>
            </w:tcBorders>
            <w:noWrap/>
            <w:vAlign w:val="center"/>
          </w:tcPr>
          <w:p w14:paraId="711C856A" w14:textId="692F0495"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DC7C35">
              <w:t>Plant Science</w:t>
            </w:r>
            <w:r w:rsidR="00AA69F5">
              <w:t xml:space="preserve"> (CIP 1.0304)</w:t>
            </w:r>
          </w:p>
        </w:tc>
        <w:tc>
          <w:tcPr>
            <w:tcW w:w="1080" w:type="dxa"/>
            <w:tcBorders>
              <w:left w:val="none" w:sz="0" w:space="0" w:color="auto"/>
              <w:bottom w:val="single" w:sz="8" w:space="0" w:color="7BA0CD" w:themeColor="accent1" w:themeTint="BF"/>
              <w:right w:val="none" w:sz="0" w:space="0" w:color="auto"/>
            </w:tcBorders>
            <w:noWrap/>
            <w:vAlign w:val="center"/>
          </w:tcPr>
          <w:p w14:paraId="6E37241F" w14:textId="77B97518"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27</w:t>
            </w:r>
          </w:p>
        </w:tc>
        <w:tc>
          <w:tcPr>
            <w:tcW w:w="1260" w:type="dxa"/>
            <w:tcBorders>
              <w:left w:val="none" w:sz="0" w:space="0" w:color="auto"/>
              <w:bottom w:val="single" w:sz="8" w:space="0" w:color="7BA0CD" w:themeColor="accent1" w:themeTint="BF"/>
              <w:right w:val="none" w:sz="0" w:space="0" w:color="auto"/>
            </w:tcBorders>
            <w:vAlign w:val="center"/>
          </w:tcPr>
          <w:p w14:paraId="5471B9C3" w14:textId="1EAE19E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29</w:t>
            </w:r>
          </w:p>
        </w:tc>
        <w:tc>
          <w:tcPr>
            <w:tcW w:w="1350" w:type="dxa"/>
            <w:tcBorders>
              <w:left w:val="none" w:sz="0" w:space="0" w:color="auto"/>
              <w:bottom w:val="single" w:sz="8" w:space="0" w:color="7BA0CD" w:themeColor="accent1" w:themeTint="BF"/>
              <w:right w:val="none" w:sz="0" w:space="0" w:color="auto"/>
            </w:tcBorders>
            <w:noWrap/>
            <w:vAlign w:val="center"/>
          </w:tcPr>
          <w:p w14:paraId="29F05B76" w14:textId="771D7DA1"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26</w:t>
            </w:r>
          </w:p>
        </w:tc>
        <w:tc>
          <w:tcPr>
            <w:tcW w:w="900" w:type="dxa"/>
            <w:tcBorders>
              <w:left w:val="none" w:sz="0" w:space="0" w:color="auto"/>
              <w:bottom w:val="single" w:sz="8" w:space="0" w:color="7BA0CD" w:themeColor="accent1" w:themeTint="BF"/>
              <w:right w:val="none" w:sz="0" w:space="0" w:color="auto"/>
            </w:tcBorders>
            <w:vAlign w:val="center"/>
          </w:tcPr>
          <w:p w14:paraId="04F18DBF" w14:textId="09F66FE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(2)</w:t>
            </w:r>
          </w:p>
        </w:tc>
        <w:tc>
          <w:tcPr>
            <w:tcW w:w="1098" w:type="dxa"/>
            <w:tcBorders>
              <w:left w:val="none" w:sz="0" w:space="0" w:color="auto"/>
              <w:bottom w:val="single" w:sz="8" w:space="0" w:color="7BA0CD" w:themeColor="accent1" w:themeTint="BF"/>
            </w:tcBorders>
            <w:noWrap/>
            <w:vAlign w:val="center"/>
          </w:tcPr>
          <w:p w14:paraId="41D77DA0" w14:textId="26CDD88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$18.96 </w:t>
            </w:r>
          </w:p>
        </w:tc>
      </w:tr>
      <w:tr w:rsidR="00062BC5" w:rsidRPr="003B7F14" w14:paraId="1D0F4458"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5148FC7E" w14:textId="76D28975" w:rsidR="00062BC5" w:rsidRPr="005947FE" w:rsidRDefault="00062BC5" w:rsidP="00062BC5">
            <w:pPr>
              <w:pStyle w:val="Tablenormalleft"/>
              <w:keepNext w:val="0"/>
              <w:widowControl w:val="0"/>
              <w:jc w:val="left"/>
              <w:rPr>
                <w:szCs w:val="18"/>
              </w:rPr>
            </w:pPr>
            <w:r w:rsidRPr="006016DA">
              <w:t>115.00</w:t>
            </w:r>
          </w:p>
        </w:tc>
        <w:tc>
          <w:tcPr>
            <w:tcW w:w="2970" w:type="dxa"/>
            <w:tcBorders>
              <w:left w:val="none" w:sz="0" w:space="0" w:color="auto"/>
              <w:bottom w:val="single" w:sz="8" w:space="0" w:color="7BA0CD" w:themeColor="accent1" w:themeTint="BF"/>
              <w:right w:val="none" w:sz="0" w:space="0" w:color="auto"/>
            </w:tcBorders>
            <w:noWrap/>
            <w:vAlign w:val="center"/>
          </w:tcPr>
          <w:p w14:paraId="780B5279" w14:textId="0535860F"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DC7C35">
              <w:t xml:space="preserve">Natural </w:t>
            </w:r>
            <w:r w:rsidR="006C38C7" w:rsidRPr="00DC7C35">
              <w:t>Resou</w:t>
            </w:r>
            <w:r w:rsidR="006C38C7">
              <w:t>rce</w:t>
            </w:r>
            <w:r w:rsidR="006C38C7" w:rsidRPr="00DC7C35">
              <w:t>s</w:t>
            </w:r>
          </w:p>
        </w:tc>
        <w:tc>
          <w:tcPr>
            <w:tcW w:w="1080" w:type="dxa"/>
            <w:tcBorders>
              <w:left w:val="none" w:sz="0" w:space="0" w:color="auto"/>
              <w:bottom w:val="single" w:sz="8" w:space="0" w:color="7BA0CD" w:themeColor="accent1" w:themeTint="BF"/>
              <w:right w:val="none" w:sz="0" w:space="0" w:color="auto"/>
            </w:tcBorders>
            <w:noWrap/>
            <w:vAlign w:val="center"/>
          </w:tcPr>
          <w:p w14:paraId="6567F0F4" w14:textId="04D4CF6C"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1</w:t>
            </w:r>
          </w:p>
        </w:tc>
        <w:tc>
          <w:tcPr>
            <w:tcW w:w="1260" w:type="dxa"/>
            <w:tcBorders>
              <w:left w:val="none" w:sz="0" w:space="0" w:color="auto"/>
              <w:bottom w:val="single" w:sz="8" w:space="0" w:color="7BA0CD" w:themeColor="accent1" w:themeTint="BF"/>
              <w:right w:val="none" w:sz="0" w:space="0" w:color="auto"/>
            </w:tcBorders>
            <w:vAlign w:val="center"/>
          </w:tcPr>
          <w:p w14:paraId="5F93AA5D" w14:textId="17C55129"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4</w:t>
            </w:r>
          </w:p>
        </w:tc>
        <w:tc>
          <w:tcPr>
            <w:tcW w:w="1350" w:type="dxa"/>
            <w:tcBorders>
              <w:left w:val="none" w:sz="0" w:space="0" w:color="auto"/>
              <w:bottom w:val="single" w:sz="8" w:space="0" w:color="7BA0CD" w:themeColor="accent1" w:themeTint="BF"/>
              <w:right w:val="none" w:sz="0" w:space="0" w:color="auto"/>
            </w:tcBorders>
            <w:noWrap/>
            <w:vAlign w:val="center"/>
          </w:tcPr>
          <w:p w14:paraId="3EFB96F0" w14:textId="067D33F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4</w:t>
            </w:r>
          </w:p>
        </w:tc>
        <w:tc>
          <w:tcPr>
            <w:tcW w:w="900" w:type="dxa"/>
            <w:tcBorders>
              <w:left w:val="none" w:sz="0" w:space="0" w:color="auto"/>
              <w:bottom w:val="single" w:sz="8" w:space="0" w:color="7BA0CD" w:themeColor="accent1" w:themeTint="BF"/>
              <w:right w:val="none" w:sz="0" w:space="0" w:color="auto"/>
            </w:tcBorders>
            <w:vAlign w:val="center"/>
          </w:tcPr>
          <w:p w14:paraId="54DA5745" w14:textId="1A21722F"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(3)</w:t>
            </w:r>
          </w:p>
        </w:tc>
        <w:tc>
          <w:tcPr>
            <w:tcW w:w="1098" w:type="dxa"/>
            <w:tcBorders>
              <w:left w:val="none" w:sz="0" w:space="0" w:color="auto"/>
              <w:bottom w:val="single" w:sz="8" w:space="0" w:color="7BA0CD" w:themeColor="accent1" w:themeTint="BF"/>
            </w:tcBorders>
            <w:noWrap/>
            <w:vAlign w:val="center"/>
          </w:tcPr>
          <w:p w14:paraId="5752C2FD" w14:textId="22C63CB5"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$16.24 </w:t>
            </w:r>
          </w:p>
        </w:tc>
      </w:tr>
      <w:tr w:rsidR="00062BC5" w:rsidRPr="003B7F14" w14:paraId="2785A0F3"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581AD89C" w14:textId="6FF2FE23" w:rsidR="00062BC5" w:rsidRPr="005947FE" w:rsidRDefault="00062BC5" w:rsidP="00062BC5">
            <w:pPr>
              <w:pStyle w:val="Tablenormalleft"/>
              <w:keepNext w:val="0"/>
              <w:widowControl w:val="0"/>
              <w:jc w:val="left"/>
              <w:rPr>
                <w:color w:val="000000"/>
                <w:szCs w:val="18"/>
              </w:rPr>
            </w:pPr>
            <w:r w:rsidRPr="006016DA">
              <w:t>708.10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8F4D056" w14:textId="54A0030D"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Computer Networking</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2E929CB" w14:textId="50A4CB84"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9</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5F50D37" w14:textId="3DB562D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14</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508C0DC" w14:textId="34398F0D"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1</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BDBAC83" w14:textId="4F9DAADE"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(5)</w:t>
            </w:r>
          </w:p>
        </w:tc>
        <w:tc>
          <w:tcPr>
            <w:tcW w:w="1098" w:type="dxa"/>
            <w:tcBorders>
              <w:left w:val="single" w:sz="8" w:space="0" w:color="7BA0CD" w:themeColor="accent1" w:themeTint="BF"/>
              <w:bottom w:val="single" w:sz="8" w:space="0" w:color="7BA0CD" w:themeColor="accent1" w:themeTint="BF"/>
            </w:tcBorders>
            <w:noWrap/>
            <w:vAlign w:val="center"/>
          </w:tcPr>
          <w:p w14:paraId="5575E957" w14:textId="1364644A"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$26.96 </w:t>
            </w:r>
          </w:p>
        </w:tc>
      </w:tr>
      <w:tr w:rsidR="00062BC5" w:rsidRPr="003B7F14" w14:paraId="043A28DC"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50714C15" w14:textId="7214EB65" w:rsidR="00062BC5" w:rsidRPr="005947FE" w:rsidRDefault="00062BC5" w:rsidP="00062BC5">
            <w:pPr>
              <w:pStyle w:val="Tablenormalleft"/>
              <w:keepNext w:val="0"/>
              <w:widowControl w:val="0"/>
              <w:jc w:val="left"/>
              <w:rPr>
                <w:color w:val="000000"/>
                <w:szCs w:val="18"/>
              </w:rPr>
            </w:pPr>
            <w:r w:rsidRPr="006016DA">
              <w:t>709.00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580B3AC" w14:textId="7139AD47"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World Wide Web Administration</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579927E" w14:textId="724F93D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3F5D0C7" w14:textId="49175A71"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6</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857366F" w14:textId="25AC6332"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4D03FDA" w14:textId="2834A19D"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(6)</w:t>
            </w:r>
          </w:p>
        </w:tc>
        <w:tc>
          <w:tcPr>
            <w:tcW w:w="1098" w:type="dxa"/>
            <w:tcBorders>
              <w:left w:val="single" w:sz="8" w:space="0" w:color="7BA0CD" w:themeColor="accent1" w:themeTint="BF"/>
              <w:bottom w:val="single" w:sz="8" w:space="0" w:color="7BA0CD" w:themeColor="accent1" w:themeTint="BF"/>
            </w:tcBorders>
            <w:noWrap/>
            <w:vAlign w:val="center"/>
          </w:tcPr>
          <w:p w14:paraId="042E6DE2" w14:textId="64EC590D"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$29.82 </w:t>
            </w:r>
          </w:p>
        </w:tc>
      </w:tr>
      <w:tr w:rsidR="00062BC5" w:rsidRPr="003B7F14" w14:paraId="094211BA"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33A7DD28" w14:textId="79DDA5AE" w:rsidR="00062BC5" w:rsidRPr="005947FE" w:rsidRDefault="00062BC5" w:rsidP="00062BC5">
            <w:pPr>
              <w:pStyle w:val="Tablenormalleft"/>
              <w:keepNext w:val="0"/>
              <w:widowControl w:val="0"/>
              <w:jc w:val="left"/>
              <w:rPr>
                <w:color w:val="000000"/>
                <w:szCs w:val="18"/>
              </w:rPr>
            </w:pPr>
            <w:r w:rsidRPr="006016DA">
              <w:t>614.10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9DC184E" w14:textId="003FB3F1"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Multimedia</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B9D3AD6" w14:textId="46338A6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79E6D6B1" w14:textId="575EE9F0"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6</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7C731EC" w14:textId="3E736F8B"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1</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FD2FAAF" w14:textId="05A5B59D"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(6)</w:t>
            </w:r>
          </w:p>
        </w:tc>
        <w:tc>
          <w:tcPr>
            <w:tcW w:w="1098" w:type="dxa"/>
            <w:tcBorders>
              <w:left w:val="single" w:sz="8" w:space="0" w:color="7BA0CD" w:themeColor="accent1" w:themeTint="BF"/>
              <w:bottom w:val="single" w:sz="8" w:space="0" w:color="7BA0CD" w:themeColor="accent1" w:themeTint="BF"/>
            </w:tcBorders>
            <w:noWrap/>
            <w:vAlign w:val="center"/>
          </w:tcPr>
          <w:p w14:paraId="7BE7DE24" w14:textId="268AFA51"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$18.10 </w:t>
            </w:r>
          </w:p>
        </w:tc>
      </w:tr>
      <w:tr w:rsidR="00062BC5" w:rsidRPr="003B7F14" w14:paraId="5B5BCB75"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18657C3F" w14:textId="30F293F3" w:rsidR="00062BC5" w:rsidRPr="005947FE" w:rsidRDefault="00062BC5" w:rsidP="00062BC5">
            <w:pPr>
              <w:pStyle w:val="Tablenormalleft"/>
              <w:keepNext w:val="0"/>
              <w:widowControl w:val="0"/>
              <w:jc w:val="left"/>
              <w:rPr>
                <w:color w:val="000000"/>
                <w:szCs w:val="18"/>
              </w:rPr>
            </w:pPr>
            <w:r w:rsidRPr="006016DA">
              <w:t>956.50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85C2D85" w14:textId="032ADD00"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Welding Technology</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34AF65F" w14:textId="0C3B3773"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35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7DDA770B" w14:textId="3FDA64AF"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43</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115EDB6" w14:textId="4002987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19</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14D3D9B" w14:textId="08815B38"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(8)</w:t>
            </w:r>
          </w:p>
        </w:tc>
        <w:tc>
          <w:tcPr>
            <w:tcW w:w="1098" w:type="dxa"/>
            <w:tcBorders>
              <w:left w:val="single" w:sz="8" w:space="0" w:color="7BA0CD" w:themeColor="accent1" w:themeTint="BF"/>
              <w:bottom w:val="single" w:sz="8" w:space="0" w:color="7BA0CD" w:themeColor="accent1" w:themeTint="BF"/>
            </w:tcBorders>
            <w:noWrap/>
            <w:vAlign w:val="center"/>
          </w:tcPr>
          <w:p w14:paraId="0B4118A9" w14:textId="25302146"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$15.57 </w:t>
            </w:r>
          </w:p>
        </w:tc>
      </w:tr>
      <w:tr w:rsidR="00062BC5" w:rsidRPr="003B7F14" w14:paraId="55BD51E3"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73BF6EC0" w14:textId="7CAF9F37" w:rsidR="00062BC5" w:rsidRPr="005947FE" w:rsidRDefault="00062BC5" w:rsidP="00062BC5">
            <w:pPr>
              <w:pStyle w:val="Tablenormalleft"/>
              <w:keepNext w:val="0"/>
              <w:widowControl w:val="0"/>
              <w:jc w:val="left"/>
              <w:rPr>
                <w:color w:val="000000"/>
                <w:szCs w:val="18"/>
              </w:rPr>
            </w:pPr>
            <w:r w:rsidRPr="006016DA">
              <w:t>1030.00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208C2EC" w14:textId="5882EA72"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Graphic Art and Design</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52AA548" w14:textId="420A7F1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013BB4A" w14:textId="48EC4C28"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13</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004AA3A" w14:textId="24BE882C"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7</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E032A39" w14:textId="4BB376FC"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(8)</w:t>
            </w:r>
          </w:p>
        </w:tc>
        <w:tc>
          <w:tcPr>
            <w:tcW w:w="1098" w:type="dxa"/>
            <w:tcBorders>
              <w:left w:val="single" w:sz="8" w:space="0" w:color="7BA0CD" w:themeColor="accent1" w:themeTint="BF"/>
              <w:bottom w:val="single" w:sz="8" w:space="0" w:color="7BA0CD" w:themeColor="accent1" w:themeTint="BF"/>
            </w:tcBorders>
            <w:noWrap/>
            <w:vAlign w:val="center"/>
          </w:tcPr>
          <w:p w14:paraId="7A7781D9" w14:textId="793106DB"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$17.41 </w:t>
            </w:r>
          </w:p>
        </w:tc>
      </w:tr>
      <w:tr w:rsidR="00062BC5" w:rsidRPr="003B7F14" w14:paraId="77FBAE9A"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3AF3407C" w14:textId="48321AA7" w:rsidR="00062BC5" w:rsidRPr="005947FE" w:rsidRDefault="00062BC5" w:rsidP="00062BC5">
            <w:pPr>
              <w:pStyle w:val="Tablenormalleft"/>
              <w:keepNext w:val="0"/>
              <w:widowControl w:val="0"/>
              <w:jc w:val="left"/>
              <w:rPr>
                <w:color w:val="000000"/>
                <w:szCs w:val="18"/>
              </w:rPr>
            </w:pPr>
            <w:r w:rsidRPr="006016DA">
              <w:t>399.00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0FDA06D" w14:textId="260CAD79"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Environmental Sciences and Technologies, Other</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D004519" w14:textId="1A143559"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E679F35" w14:textId="447F3022"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9</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85386E6" w14:textId="19AF198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9</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76B0CCF" w14:textId="633A8E2B"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(8)</w:t>
            </w:r>
          </w:p>
        </w:tc>
        <w:tc>
          <w:tcPr>
            <w:tcW w:w="1098" w:type="dxa"/>
            <w:tcBorders>
              <w:left w:val="single" w:sz="8" w:space="0" w:color="7BA0CD" w:themeColor="accent1" w:themeTint="BF"/>
              <w:bottom w:val="single" w:sz="8" w:space="0" w:color="7BA0CD" w:themeColor="accent1" w:themeTint="BF"/>
            </w:tcBorders>
            <w:noWrap/>
            <w:vAlign w:val="center"/>
          </w:tcPr>
          <w:p w14:paraId="20D72037" w14:textId="6753D808"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$27.87 </w:t>
            </w:r>
          </w:p>
        </w:tc>
      </w:tr>
      <w:tr w:rsidR="00062BC5" w:rsidRPr="003B7F14" w14:paraId="461E6D1C"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62E6E684" w14:textId="282FA7F9" w:rsidR="00062BC5" w:rsidRPr="005947FE" w:rsidRDefault="00062BC5" w:rsidP="00062BC5">
            <w:pPr>
              <w:pStyle w:val="Tablenormalleft"/>
              <w:keepNext w:val="0"/>
              <w:widowControl w:val="0"/>
              <w:jc w:val="left"/>
              <w:rPr>
                <w:color w:val="000000"/>
                <w:szCs w:val="18"/>
              </w:rPr>
            </w:pPr>
            <w:r w:rsidRPr="006016DA">
              <w:t>506.40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F2634A9" w14:textId="58312345"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Small Business and Entrepreneurship</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7BF2804" w14:textId="3926ADB5"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B6ED527" w14:textId="67C7221D"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10</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5F41FBE" w14:textId="5D33F9C9"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172AF6A" w14:textId="2EB61D2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(10)</w:t>
            </w:r>
          </w:p>
        </w:tc>
        <w:tc>
          <w:tcPr>
            <w:tcW w:w="1098" w:type="dxa"/>
            <w:tcBorders>
              <w:left w:val="single" w:sz="8" w:space="0" w:color="7BA0CD" w:themeColor="accent1" w:themeTint="BF"/>
              <w:bottom w:val="single" w:sz="8" w:space="0" w:color="7BA0CD" w:themeColor="accent1" w:themeTint="BF"/>
            </w:tcBorders>
            <w:noWrap/>
            <w:vAlign w:val="center"/>
          </w:tcPr>
          <w:p w14:paraId="17C044DC" w14:textId="08E6696B"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$29.33 </w:t>
            </w:r>
          </w:p>
        </w:tc>
      </w:tr>
      <w:tr w:rsidR="00062BC5" w:rsidRPr="003B7F14" w14:paraId="639AF678"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16811894" w14:textId="3E7A0D60" w:rsidR="00062BC5" w:rsidRPr="005947FE" w:rsidRDefault="00062BC5" w:rsidP="00062BC5">
            <w:pPr>
              <w:pStyle w:val="Tablenormalleft"/>
              <w:keepNext w:val="0"/>
              <w:widowControl w:val="0"/>
              <w:jc w:val="left"/>
              <w:rPr>
                <w:color w:val="000000"/>
                <w:szCs w:val="18"/>
              </w:rPr>
            </w:pPr>
            <w:r w:rsidRPr="006016DA">
              <w:t>1305.20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198A47A" w14:textId="0877A651"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Children with Special Needs</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7EADDCD" w14:textId="269833C0"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584BB027" w14:textId="5A9C7339"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11</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AB1A839" w14:textId="120C2511"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C8F8DAA" w14:textId="74701F78"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(10)</w:t>
            </w:r>
          </w:p>
        </w:tc>
        <w:tc>
          <w:tcPr>
            <w:tcW w:w="1098" w:type="dxa"/>
            <w:tcBorders>
              <w:left w:val="single" w:sz="8" w:space="0" w:color="7BA0CD" w:themeColor="accent1" w:themeTint="BF"/>
              <w:bottom w:val="single" w:sz="8" w:space="0" w:color="7BA0CD" w:themeColor="accent1" w:themeTint="BF"/>
            </w:tcBorders>
            <w:noWrap/>
            <w:vAlign w:val="center"/>
          </w:tcPr>
          <w:p w14:paraId="6A3A8F5E" w14:textId="62D92702"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$30.00 </w:t>
            </w:r>
          </w:p>
        </w:tc>
      </w:tr>
      <w:tr w:rsidR="00062BC5" w:rsidRPr="003B7F14" w14:paraId="55DD10ED"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0D4760FA" w14:textId="59F24FB4" w:rsidR="00062BC5" w:rsidRPr="005947FE" w:rsidRDefault="00062BC5" w:rsidP="00062BC5">
            <w:pPr>
              <w:pStyle w:val="Tablenormalleft"/>
              <w:keepNext w:val="0"/>
              <w:widowControl w:val="0"/>
              <w:jc w:val="left"/>
              <w:rPr>
                <w:color w:val="000000"/>
                <w:szCs w:val="18"/>
              </w:rPr>
            </w:pPr>
            <w:r w:rsidRPr="006016DA">
              <w:t>112.00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6600DD2" w14:textId="77A98CE6"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Agriculture Business, Sales and Service</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DFEF134" w14:textId="6E7B23E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29</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8782F69" w14:textId="7D2A7F2C"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40</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5BF889E" w14:textId="3F47E49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39</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FE8D516" w14:textId="2D2E968B"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(11)</w:t>
            </w:r>
          </w:p>
        </w:tc>
        <w:tc>
          <w:tcPr>
            <w:tcW w:w="1098" w:type="dxa"/>
            <w:tcBorders>
              <w:left w:val="single" w:sz="8" w:space="0" w:color="7BA0CD" w:themeColor="accent1" w:themeTint="BF"/>
              <w:bottom w:val="single" w:sz="8" w:space="0" w:color="7BA0CD" w:themeColor="accent1" w:themeTint="BF"/>
            </w:tcBorders>
            <w:noWrap/>
            <w:vAlign w:val="center"/>
          </w:tcPr>
          <w:p w14:paraId="624395F7" w14:textId="3D1A20D2"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$19.25 </w:t>
            </w:r>
          </w:p>
        </w:tc>
      </w:tr>
      <w:tr w:rsidR="00062BC5" w:rsidRPr="003B7F14" w14:paraId="178E58B1"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647BFAB7" w14:textId="5AB0E638" w:rsidR="00062BC5" w:rsidRPr="005947FE" w:rsidRDefault="00062BC5" w:rsidP="00062BC5">
            <w:pPr>
              <w:pStyle w:val="Tablenormalleft"/>
              <w:keepNext w:val="0"/>
              <w:widowControl w:val="0"/>
              <w:jc w:val="left"/>
              <w:rPr>
                <w:color w:val="000000"/>
                <w:szCs w:val="18"/>
              </w:rPr>
            </w:pPr>
            <w:r w:rsidRPr="006016DA">
              <w:t>1230.00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34E1973" w14:textId="19F4DD97"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Nursing</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632F185" w14:textId="32A5A036"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19</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B68639E" w14:textId="779C535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30</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EC28F3E" w14:textId="003A87E8"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6</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8FE3E7B" w14:textId="207DE303"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(12)</w:t>
            </w:r>
          </w:p>
        </w:tc>
        <w:tc>
          <w:tcPr>
            <w:tcW w:w="1098" w:type="dxa"/>
            <w:tcBorders>
              <w:left w:val="single" w:sz="8" w:space="0" w:color="7BA0CD" w:themeColor="accent1" w:themeTint="BF"/>
              <w:bottom w:val="single" w:sz="8" w:space="0" w:color="7BA0CD" w:themeColor="accent1" w:themeTint="BF"/>
            </w:tcBorders>
            <w:noWrap/>
            <w:vAlign w:val="center"/>
          </w:tcPr>
          <w:p w14:paraId="1CAF9907" w14:textId="32DBF6C5"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$37.13 </w:t>
            </w:r>
          </w:p>
        </w:tc>
      </w:tr>
      <w:tr w:rsidR="00062BC5" w:rsidRPr="003B7F14" w14:paraId="0CE85D4E"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1815DA8E" w14:textId="03E55F67" w:rsidR="00062BC5" w:rsidRPr="005947FE" w:rsidRDefault="00062BC5" w:rsidP="00062BC5">
            <w:pPr>
              <w:pStyle w:val="Tablenormalleft"/>
              <w:keepNext w:val="0"/>
              <w:widowControl w:val="0"/>
              <w:jc w:val="left"/>
              <w:rPr>
                <w:color w:val="000000"/>
                <w:szCs w:val="18"/>
              </w:rPr>
            </w:pPr>
            <w:r w:rsidRPr="006016DA">
              <w:t>701.00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96E439E" w14:textId="43415B7D"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Information Technology, General</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624C98F" w14:textId="21E72534"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8</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C553F87" w14:textId="5FBF7045"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22</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D72E9F2" w14:textId="7A726B25"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10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C85C2D4" w14:textId="20149340"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(14)</w:t>
            </w:r>
          </w:p>
        </w:tc>
        <w:tc>
          <w:tcPr>
            <w:tcW w:w="1098" w:type="dxa"/>
            <w:tcBorders>
              <w:left w:val="single" w:sz="8" w:space="0" w:color="7BA0CD" w:themeColor="accent1" w:themeTint="BF"/>
              <w:bottom w:val="single" w:sz="8" w:space="0" w:color="7BA0CD" w:themeColor="accent1" w:themeTint="BF"/>
            </w:tcBorders>
            <w:noWrap/>
            <w:vAlign w:val="center"/>
          </w:tcPr>
          <w:p w14:paraId="229017A8" w14:textId="50590DD1"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$34.37 </w:t>
            </w:r>
          </w:p>
        </w:tc>
      </w:tr>
      <w:tr w:rsidR="00062BC5" w:rsidRPr="003B7F14" w14:paraId="3CF27C50"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5828B814" w14:textId="684C5842" w:rsidR="00062BC5" w:rsidRPr="005947FE" w:rsidRDefault="00062BC5" w:rsidP="00062BC5">
            <w:pPr>
              <w:pStyle w:val="Tablenormalleft"/>
              <w:keepNext w:val="0"/>
              <w:widowControl w:val="0"/>
              <w:jc w:val="left"/>
              <w:rPr>
                <w:color w:val="000000"/>
                <w:szCs w:val="18"/>
              </w:rPr>
            </w:pPr>
            <w:r w:rsidRPr="006016DA">
              <w:t>956.30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D2AAD6F" w14:textId="1752B243"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Machining and Machine Tools</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94C50D1" w14:textId="1218CDFD"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44</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5FC5456E" w14:textId="77794751"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58</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E056F31" w14:textId="7B92F0E5"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36</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18789AA" w14:textId="11E113C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(14)</w:t>
            </w:r>
          </w:p>
        </w:tc>
        <w:tc>
          <w:tcPr>
            <w:tcW w:w="1098" w:type="dxa"/>
            <w:tcBorders>
              <w:left w:val="single" w:sz="8" w:space="0" w:color="7BA0CD" w:themeColor="accent1" w:themeTint="BF"/>
              <w:bottom w:val="single" w:sz="8" w:space="0" w:color="7BA0CD" w:themeColor="accent1" w:themeTint="BF"/>
            </w:tcBorders>
            <w:noWrap/>
            <w:vAlign w:val="center"/>
          </w:tcPr>
          <w:p w14:paraId="67B8F095" w14:textId="54185B12"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$15.81 </w:t>
            </w:r>
          </w:p>
        </w:tc>
      </w:tr>
      <w:tr w:rsidR="00062BC5" w:rsidRPr="003B7F14" w14:paraId="7097B940"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7FF0A983" w14:textId="3F14BA2E" w:rsidR="00062BC5" w:rsidRPr="005947FE" w:rsidRDefault="00062BC5" w:rsidP="00062BC5">
            <w:pPr>
              <w:pStyle w:val="Tablenormalleft"/>
              <w:keepNext w:val="0"/>
              <w:widowControl w:val="0"/>
              <w:jc w:val="left"/>
              <w:rPr>
                <w:color w:val="000000"/>
                <w:szCs w:val="18"/>
              </w:rPr>
            </w:pPr>
            <w:r w:rsidRPr="006016DA">
              <w:t>116.00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EA3F34F" w14:textId="55BC21F3"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Agricultural Power Equipment Technology</w:t>
            </w:r>
            <w:r w:rsidR="00AA69F5">
              <w:t xml:space="preserve"> (CIP 1.0299)</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2BA0D1F" w14:textId="24A42EC1"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2</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696158F" w14:textId="7524833B"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21</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6C5EABD" w14:textId="583B592C"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21</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61CB32B2" w14:textId="53BD6DE6"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(19)</w:t>
            </w:r>
          </w:p>
        </w:tc>
        <w:tc>
          <w:tcPr>
            <w:tcW w:w="1098" w:type="dxa"/>
            <w:tcBorders>
              <w:left w:val="single" w:sz="8" w:space="0" w:color="7BA0CD" w:themeColor="accent1" w:themeTint="BF"/>
              <w:bottom w:val="single" w:sz="8" w:space="0" w:color="7BA0CD" w:themeColor="accent1" w:themeTint="BF"/>
            </w:tcBorders>
            <w:noWrap/>
            <w:vAlign w:val="center"/>
          </w:tcPr>
          <w:p w14:paraId="4B64AEEE" w14:textId="6F859F57"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$18.52 </w:t>
            </w:r>
          </w:p>
        </w:tc>
      </w:tr>
      <w:tr w:rsidR="00062BC5" w:rsidRPr="003B7F14" w14:paraId="38A5871E"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055855AF" w14:textId="78AFD330" w:rsidR="00062BC5" w:rsidRPr="005947FE" w:rsidRDefault="00062BC5" w:rsidP="00062BC5">
            <w:pPr>
              <w:pStyle w:val="Tablenormalleft"/>
              <w:keepNext w:val="0"/>
              <w:widowControl w:val="0"/>
              <w:jc w:val="left"/>
              <w:rPr>
                <w:color w:val="000000"/>
                <w:szCs w:val="18"/>
              </w:rPr>
            </w:pPr>
            <w:r w:rsidRPr="006016DA">
              <w:t>114.00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8DBD59F" w14:textId="50275F00"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Forestry</w:t>
            </w:r>
            <w:r w:rsidR="00AA69F5">
              <w:t xml:space="preserve"> (CIP 3.0501)</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49EED56" w14:textId="27807BB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003B50A" w14:textId="3C09EF9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32</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9450E56" w14:textId="2C5CF69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30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943BA95" w14:textId="261BEFA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(22)</w:t>
            </w:r>
          </w:p>
        </w:tc>
        <w:tc>
          <w:tcPr>
            <w:tcW w:w="1098" w:type="dxa"/>
            <w:tcBorders>
              <w:left w:val="single" w:sz="8" w:space="0" w:color="7BA0CD" w:themeColor="accent1" w:themeTint="BF"/>
              <w:bottom w:val="single" w:sz="8" w:space="0" w:color="7BA0CD" w:themeColor="accent1" w:themeTint="BF"/>
            </w:tcBorders>
            <w:noWrap/>
            <w:vAlign w:val="center"/>
          </w:tcPr>
          <w:p w14:paraId="0659A898" w14:textId="16928025"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$16.24 </w:t>
            </w:r>
          </w:p>
        </w:tc>
      </w:tr>
      <w:tr w:rsidR="00062BC5" w:rsidRPr="003B7F14" w14:paraId="318DB40F"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4FB31C71" w14:textId="6BD77CE1" w:rsidR="00062BC5" w:rsidRPr="005947FE" w:rsidRDefault="00062BC5" w:rsidP="00062BC5">
            <w:pPr>
              <w:pStyle w:val="Tablenormalleft"/>
              <w:keepNext w:val="0"/>
              <w:widowControl w:val="0"/>
              <w:jc w:val="left"/>
              <w:rPr>
                <w:color w:val="000000"/>
                <w:szCs w:val="18"/>
              </w:rPr>
            </w:pPr>
            <w:r w:rsidRPr="006016DA">
              <w:t>950.20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556F5A4" w14:textId="68D06AA3"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Aviation Powerplant Mechanics</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41A5F36" w14:textId="0B17662E"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8</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52C34ACC" w14:textId="6FAE8E43"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31</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9194615" w14:textId="5CB7DF12"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31</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9A26287" w14:textId="301C3947"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(23)</w:t>
            </w:r>
          </w:p>
        </w:tc>
        <w:tc>
          <w:tcPr>
            <w:tcW w:w="1098" w:type="dxa"/>
            <w:tcBorders>
              <w:left w:val="single" w:sz="8" w:space="0" w:color="7BA0CD" w:themeColor="accent1" w:themeTint="BF"/>
              <w:bottom w:val="single" w:sz="8" w:space="0" w:color="7BA0CD" w:themeColor="accent1" w:themeTint="BF"/>
            </w:tcBorders>
            <w:noWrap/>
            <w:vAlign w:val="center"/>
          </w:tcPr>
          <w:p w14:paraId="75AAB925" w14:textId="0E435306"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$24.09 </w:t>
            </w:r>
          </w:p>
        </w:tc>
      </w:tr>
      <w:tr w:rsidR="00062BC5" w:rsidRPr="003B7F14" w14:paraId="6AA0447C"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7BD2DA73" w14:textId="2D808F38" w:rsidR="00062BC5" w:rsidRPr="005947FE" w:rsidRDefault="00062BC5" w:rsidP="00062BC5">
            <w:pPr>
              <w:pStyle w:val="Tablenormalleft"/>
              <w:keepNext w:val="0"/>
              <w:widowControl w:val="0"/>
              <w:jc w:val="left"/>
              <w:rPr>
                <w:color w:val="000000"/>
                <w:szCs w:val="18"/>
              </w:rPr>
            </w:pPr>
            <w:r w:rsidRPr="006016DA">
              <w:t>956.00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3135613" w14:textId="45F0EBBB"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Manufacturing and Industrial Technology</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7DA111B" w14:textId="497F4CBA"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4</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3CF42D5" w14:textId="68BFCB10"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34</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14388D2" w14:textId="04840489"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11</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56E4B6E8" w14:textId="635AB77F"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(30)</w:t>
            </w:r>
          </w:p>
        </w:tc>
        <w:tc>
          <w:tcPr>
            <w:tcW w:w="1098" w:type="dxa"/>
            <w:tcBorders>
              <w:left w:val="single" w:sz="8" w:space="0" w:color="7BA0CD" w:themeColor="accent1" w:themeTint="BF"/>
              <w:bottom w:val="single" w:sz="8" w:space="0" w:color="7BA0CD" w:themeColor="accent1" w:themeTint="BF"/>
            </w:tcBorders>
            <w:noWrap/>
            <w:vAlign w:val="center"/>
          </w:tcPr>
          <w:p w14:paraId="1F49BB39" w14:textId="38F42CCA"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$33.90 </w:t>
            </w:r>
          </w:p>
        </w:tc>
      </w:tr>
      <w:tr w:rsidR="00062BC5" w:rsidRPr="003B7F14" w14:paraId="4F186059"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6089FE8A" w14:textId="6DBF0707" w:rsidR="00062BC5" w:rsidRPr="005947FE" w:rsidRDefault="00062BC5" w:rsidP="00062BC5">
            <w:pPr>
              <w:pStyle w:val="Tablenormalleft"/>
              <w:keepNext w:val="0"/>
              <w:widowControl w:val="0"/>
              <w:jc w:val="left"/>
              <w:rPr>
                <w:color w:val="000000"/>
                <w:szCs w:val="18"/>
              </w:rPr>
            </w:pPr>
            <w:r w:rsidRPr="006016DA">
              <w:t>708.20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8F6E2BB" w14:textId="298DE388"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Computer Support</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264D74F" w14:textId="309A8ABC"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1A4AE18" w14:textId="43EDDCBA"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37</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5B791A0" w14:textId="1A8B534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18</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E5AAF32" w14:textId="3A9A60B3"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(32)</w:t>
            </w:r>
          </w:p>
        </w:tc>
        <w:tc>
          <w:tcPr>
            <w:tcW w:w="1098" w:type="dxa"/>
            <w:tcBorders>
              <w:left w:val="single" w:sz="8" w:space="0" w:color="7BA0CD" w:themeColor="accent1" w:themeTint="BF"/>
              <w:bottom w:val="single" w:sz="8" w:space="0" w:color="7BA0CD" w:themeColor="accent1" w:themeTint="BF"/>
            </w:tcBorders>
            <w:noWrap/>
            <w:vAlign w:val="center"/>
          </w:tcPr>
          <w:p w14:paraId="17FFE59C" w14:textId="752155C1"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$23.08 </w:t>
            </w:r>
          </w:p>
        </w:tc>
      </w:tr>
      <w:tr w:rsidR="00062BC5" w:rsidRPr="003B7F14" w14:paraId="196BC2B2"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569629EF" w14:textId="6FA97DC6" w:rsidR="00062BC5" w:rsidRPr="005947FE" w:rsidRDefault="00062BC5" w:rsidP="00062BC5">
            <w:pPr>
              <w:pStyle w:val="Tablenormalleft"/>
              <w:keepNext w:val="0"/>
              <w:widowControl w:val="0"/>
              <w:jc w:val="left"/>
              <w:rPr>
                <w:color w:val="000000"/>
                <w:szCs w:val="18"/>
              </w:rPr>
            </w:pPr>
            <w:r w:rsidRPr="006016DA">
              <w:t>614.30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9D398CE" w14:textId="1F28D7C1"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Website Design and Development</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599EEA7" w14:textId="2CF5947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D655204" w14:textId="78D4340D"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58</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30812A8" w14:textId="7B7A000D"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77C0A180" w14:textId="2D73B2EA"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(53)</w:t>
            </w:r>
          </w:p>
        </w:tc>
        <w:tc>
          <w:tcPr>
            <w:tcW w:w="1098" w:type="dxa"/>
            <w:tcBorders>
              <w:left w:val="single" w:sz="8" w:space="0" w:color="7BA0CD" w:themeColor="accent1" w:themeTint="BF"/>
              <w:bottom w:val="single" w:sz="8" w:space="0" w:color="7BA0CD" w:themeColor="accent1" w:themeTint="BF"/>
            </w:tcBorders>
            <w:noWrap/>
            <w:vAlign w:val="center"/>
          </w:tcPr>
          <w:p w14:paraId="3400AFF9" w14:textId="7D47E065"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$22.95 </w:t>
            </w:r>
          </w:p>
        </w:tc>
      </w:tr>
      <w:tr w:rsidR="00062BC5" w:rsidRPr="003B7F14" w14:paraId="35C6355F"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301192AB" w14:textId="5DC47E8D" w:rsidR="00062BC5" w:rsidRPr="005947FE" w:rsidRDefault="00062BC5" w:rsidP="00062BC5">
            <w:pPr>
              <w:pStyle w:val="Tablenormalleft"/>
              <w:keepNext w:val="0"/>
              <w:widowControl w:val="0"/>
              <w:jc w:val="left"/>
              <w:rPr>
                <w:color w:val="000000"/>
                <w:szCs w:val="18"/>
              </w:rPr>
            </w:pPr>
            <w:r w:rsidRPr="006016DA">
              <w:t>1201.00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D346504" w14:textId="32A44B1C"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Health Occupations, General</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E141B73" w14:textId="2C2BE06E"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25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746DF22D" w14:textId="7F8F8A4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81</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8F09BAA" w14:textId="38D96FBD"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80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1909138" w14:textId="0EE0D357"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(56)</w:t>
            </w:r>
          </w:p>
        </w:tc>
        <w:tc>
          <w:tcPr>
            <w:tcW w:w="1098" w:type="dxa"/>
            <w:tcBorders>
              <w:left w:val="single" w:sz="8" w:space="0" w:color="7BA0CD" w:themeColor="accent1" w:themeTint="BF"/>
              <w:bottom w:val="single" w:sz="8" w:space="0" w:color="7BA0CD" w:themeColor="accent1" w:themeTint="BF"/>
            </w:tcBorders>
            <w:noWrap/>
            <w:vAlign w:val="center"/>
          </w:tcPr>
          <w:p w14:paraId="221FB742" w14:textId="5F288FC1"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$11.55 </w:t>
            </w:r>
          </w:p>
        </w:tc>
      </w:tr>
      <w:tr w:rsidR="00062BC5" w:rsidRPr="003B7F14" w14:paraId="54D0C7BE"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2E0D1CF1" w14:textId="3529E6A6" w:rsidR="00062BC5" w:rsidRPr="005947FE" w:rsidRDefault="00062BC5" w:rsidP="00062BC5">
            <w:pPr>
              <w:pStyle w:val="Tablenormalleft"/>
              <w:keepNext w:val="0"/>
              <w:widowControl w:val="0"/>
              <w:jc w:val="left"/>
              <w:rPr>
                <w:color w:val="000000"/>
                <w:szCs w:val="18"/>
              </w:rPr>
            </w:pPr>
            <w:r w:rsidRPr="006016DA">
              <w:t>2105.00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81C0D49" w14:textId="096D3975"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Administration of Justice</w:t>
            </w:r>
            <w:r w:rsidR="00AA69F5">
              <w:t xml:space="preserve"> (CIP 43.0107)</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7368B26" w14:textId="06A55334"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70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28524A6" w14:textId="2FCBB385"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131</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8DBA0BD" w14:textId="485DBEC0"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14</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CB2417D" w14:textId="6EFBCC31"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(61)</w:t>
            </w:r>
          </w:p>
        </w:tc>
        <w:tc>
          <w:tcPr>
            <w:tcW w:w="1098" w:type="dxa"/>
            <w:tcBorders>
              <w:left w:val="single" w:sz="8" w:space="0" w:color="7BA0CD" w:themeColor="accent1" w:themeTint="BF"/>
              <w:bottom w:val="single" w:sz="8" w:space="0" w:color="7BA0CD" w:themeColor="accent1" w:themeTint="BF"/>
            </w:tcBorders>
            <w:noWrap/>
            <w:vAlign w:val="center"/>
          </w:tcPr>
          <w:p w14:paraId="4D87262F" w14:textId="2F2171F7"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$32.10 </w:t>
            </w:r>
          </w:p>
        </w:tc>
      </w:tr>
      <w:tr w:rsidR="00062BC5" w:rsidRPr="003B7F14" w14:paraId="2830AB1C"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5A7C4562" w14:textId="552E069C" w:rsidR="00062BC5" w:rsidRPr="005947FE" w:rsidRDefault="00062BC5" w:rsidP="00062BC5">
            <w:pPr>
              <w:pStyle w:val="Tablenormalleft"/>
              <w:keepNext w:val="0"/>
              <w:widowControl w:val="0"/>
              <w:jc w:val="left"/>
              <w:rPr>
                <w:color w:val="000000"/>
                <w:szCs w:val="18"/>
              </w:rPr>
            </w:pPr>
            <w:r w:rsidRPr="006016DA">
              <w:t>514.20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C7EAD18" w14:textId="61C2A155"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Medical Office Technology</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2C37285" w14:textId="627DA310"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37</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F0D3B73" w14:textId="6B4419F1"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106</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9AE6A2B" w14:textId="6B36538D"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32</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32BC0B9" w14:textId="3BFB7EEB"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(68)</w:t>
            </w:r>
          </w:p>
        </w:tc>
        <w:tc>
          <w:tcPr>
            <w:tcW w:w="1098" w:type="dxa"/>
            <w:tcBorders>
              <w:left w:val="single" w:sz="8" w:space="0" w:color="7BA0CD" w:themeColor="accent1" w:themeTint="BF"/>
              <w:bottom w:val="single" w:sz="8" w:space="0" w:color="7BA0CD" w:themeColor="accent1" w:themeTint="BF"/>
            </w:tcBorders>
            <w:noWrap/>
            <w:vAlign w:val="center"/>
          </w:tcPr>
          <w:p w14:paraId="608D4F86" w14:textId="6478E531"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$14.95 </w:t>
            </w:r>
          </w:p>
        </w:tc>
      </w:tr>
      <w:tr w:rsidR="00062BC5" w:rsidRPr="003B7F14" w14:paraId="396E3567"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75FEBA18" w14:textId="2C5F67CF" w:rsidR="00062BC5" w:rsidRPr="005947FE" w:rsidRDefault="00062BC5" w:rsidP="00062BC5">
            <w:pPr>
              <w:pStyle w:val="Tablenormalleft"/>
              <w:keepNext w:val="0"/>
              <w:widowControl w:val="0"/>
              <w:jc w:val="left"/>
              <w:rPr>
                <w:color w:val="000000"/>
                <w:szCs w:val="18"/>
              </w:rPr>
            </w:pPr>
            <w:r w:rsidRPr="006016DA">
              <w:t>116.00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83627A0" w14:textId="63BB6BBA"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Agricultural Power Equipment Technology</w:t>
            </w:r>
            <w:r w:rsidR="00AA69F5">
              <w:t xml:space="preserve"> (CIP 1.0899)</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09AF72B" w14:textId="73FF6E3C"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54</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40928DA" w14:textId="6B5705A6"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140</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E71132D" w14:textId="573DC45F"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140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2F99956" w14:textId="525EE2B7"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(86)</w:t>
            </w:r>
          </w:p>
        </w:tc>
        <w:tc>
          <w:tcPr>
            <w:tcW w:w="1098" w:type="dxa"/>
            <w:tcBorders>
              <w:left w:val="single" w:sz="8" w:space="0" w:color="7BA0CD" w:themeColor="accent1" w:themeTint="BF"/>
              <w:bottom w:val="single" w:sz="8" w:space="0" w:color="7BA0CD" w:themeColor="accent1" w:themeTint="BF"/>
            </w:tcBorders>
            <w:noWrap/>
            <w:vAlign w:val="center"/>
          </w:tcPr>
          <w:p w14:paraId="2C7C58FA" w14:textId="4ADF76CE"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$19.93 </w:t>
            </w:r>
          </w:p>
        </w:tc>
      </w:tr>
      <w:tr w:rsidR="00062BC5" w:rsidRPr="003B7F14" w14:paraId="7EF1B310"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4C79C68F" w14:textId="18A43A7E" w:rsidR="00062BC5" w:rsidRPr="005947FE" w:rsidRDefault="00062BC5" w:rsidP="00062BC5">
            <w:pPr>
              <w:pStyle w:val="Tablenormalleft"/>
              <w:keepNext w:val="0"/>
              <w:widowControl w:val="0"/>
              <w:jc w:val="left"/>
              <w:rPr>
                <w:color w:val="000000"/>
                <w:szCs w:val="18"/>
              </w:rPr>
            </w:pPr>
            <w:r w:rsidRPr="006016DA">
              <w:t>1305.00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6C33137" w14:textId="6DA8A579"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 xml:space="preserve">Child Development/Early Care </w:t>
            </w:r>
            <w:r w:rsidRPr="00DC7C35">
              <w:lastRenderedPageBreak/>
              <w:t>and Education</w:t>
            </w:r>
            <w:r w:rsidR="00AA69F5">
              <w:t xml:space="preserve"> (CIP 19.0709)</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943FFF2" w14:textId="459C7480"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lastRenderedPageBreak/>
              <w:t>165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0BEAF39" w14:textId="6E4AC18C"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279</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E54DC0C" w14:textId="4981B370"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65</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88A9700" w14:textId="622F37B8"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(114)</w:t>
            </w:r>
          </w:p>
        </w:tc>
        <w:tc>
          <w:tcPr>
            <w:tcW w:w="1098" w:type="dxa"/>
            <w:tcBorders>
              <w:left w:val="single" w:sz="8" w:space="0" w:color="7BA0CD" w:themeColor="accent1" w:themeTint="BF"/>
              <w:bottom w:val="single" w:sz="8" w:space="0" w:color="7BA0CD" w:themeColor="accent1" w:themeTint="BF"/>
            </w:tcBorders>
            <w:noWrap/>
            <w:vAlign w:val="center"/>
          </w:tcPr>
          <w:p w14:paraId="47CF836C" w14:textId="76D2FBFD"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$8.05 </w:t>
            </w:r>
          </w:p>
        </w:tc>
      </w:tr>
      <w:tr w:rsidR="00062BC5" w:rsidRPr="003B7F14" w14:paraId="49D485D3" w14:textId="77777777" w:rsidTr="0006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1C30DC96" w14:textId="0687905C" w:rsidR="00062BC5" w:rsidRPr="005947FE" w:rsidRDefault="00062BC5" w:rsidP="00062BC5">
            <w:pPr>
              <w:pStyle w:val="Tablenormalleft"/>
              <w:keepNext w:val="0"/>
              <w:widowControl w:val="0"/>
              <w:jc w:val="left"/>
              <w:rPr>
                <w:color w:val="000000"/>
                <w:szCs w:val="18"/>
              </w:rPr>
            </w:pPr>
            <w:r w:rsidRPr="006016DA">
              <w:t>1240.10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98B335F" w14:textId="7B3E55A0" w:rsidR="00062BC5" w:rsidRPr="005947FE" w:rsidRDefault="00062BC5" w:rsidP="00062BC5">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DC7C35">
              <w:t>Dental Assistant</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C3E84ED" w14:textId="604D932E"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14</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557E4187" w14:textId="6EEE8405"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196</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7A4B22E" w14:textId="26D2CF27"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665D1">
              <w:t>24</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4547C42" w14:textId="450601A2" w:rsidR="00062BC5" w:rsidRPr="005947FE"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4665D1">
              <w:t>(182)</w:t>
            </w:r>
          </w:p>
        </w:tc>
        <w:tc>
          <w:tcPr>
            <w:tcW w:w="1098" w:type="dxa"/>
            <w:tcBorders>
              <w:left w:val="single" w:sz="8" w:space="0" w:color="7BA0CD" w:themeColor="accent1" w:themeTint="BF"/>
              <w:bottom w:val="single" w:sz="8" w:space="0" w:color="7BA0CD" w:themeColor="accent1" w:themeTint="BF"/>
            </w:tcBorders>
            <w:noWrap/>
            <w:vAlign w:val="center"/>
          </w:tcPr>
          <w:p w14:paraId="282FB8E2" w14:textId="5A9E266F" w:rsidR="00062BC5" w:rsidRDefault="00062BC5" w:rsidP="00062BC5">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4665D1">
              <w:t xml:space="preserve"> $15.22 </w:t>
            </w:r>
          </w:p>
        </w:tc>
      </w:tr>
      <w:tr w:rsidR="00062BC5" w:rsidRPr="003B7F14" w14:paraId="45070FCF" w14:textId="77777777" w:rsidTr="0006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053EDE2E" w14:textId="0A8B877C" w:rsidR="00062BC5" w:rsidRPr="005947FE" w:rsidRDefault="00062BC5" w:rsidP="00062BC5">
            <w:pPr>
              <w:pStyle w:val="Tablenormalleft"/>
              <w:keepNext w:val="0"/>
              <w:widowControl w:val="0"/>
              <w:jc w:val="left"/>
              <w:rPr>
                <w:color w:val="000000"/>
                <w:szCs w:val="18"/>
              </w:rPr>
            </w:pPr>
            <w:r w:rsidRPr="006016DA">
              <w:t>1230.20</w:t>
            </w:r>
          </w:p>
        </w:tc>
        <w:tc>
          <w:tcPr>
            <w:tcW w:w="29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7DE4860" w14:textId="2A166317" w:rsidR="00062BC5" w:rsidRPr="005947FE" w:rsidRDefault="00062BC5" w:rsidP="00062BC5">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DC7C35">
              <w:t>Licensed Vocational Nursing</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58B7786" w14:textId="1A03010F"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37</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527511B1" w14:textId="0BA2EBA1"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220</w:t>
            </w:r>
          </w:p>
        </w:tc>
        <w:tc>
          <w:tcPr>
            <w:tcW w:w="135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0348E1C" w14:textId="3138B430"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4665D1">
              <w:t>64</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B3CCE12" w14:textId="385730DB" w:rsidR="00062BC5" w:rsidRPr="005947FE"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4665D1">
              <w:t>(182)</w:t>
            </w:r>
          </w:p>
        </w:tc>
        <w:tc>
          <w:tcPr>
            <w:tcW w:w="1098" w:type="dxa"/>
            <w:tcBorders>
              <w:left w:val="single" w:sz="8" w:space="0" w:color="7BA0CD" w:themeColor="accent1" w:themeTint="BF"/>
              <w:bottom w:val="single" w:sz="8" w:space="0" w:color="7BA0CD" w:themeColor="accent1" w:themeTint="BF"/>
            </w:tcBorders>
            <w:noWrap/>
            <w:vAlign w:val="center"/>
          </w:tcPr>
          <w:p w14:paraId="56BA52CB" w14:textId="2BA0F93F" w:rsidR="00062BC5" w:rsidRDefault="00062BC5" w:rsidP="00062BC5">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4665D1">
              <w:t xml:space="preserve"> $22.84 </w:t>
            </w:r>
          </w:p>
        </w:tc>
      </w:tr>
      <w:tr w:rsidR="000440A5" w:rsidRPr="003B7F14" w14:paraId="298AE542" w14:textId="77777777" w:rsidTr="0088105B">
        <w:trPr>
          <w:cnfStyle w:val="000000100000" w:firstRow="0" w:lastRow="0" w:firstColumn="0" w:lastColumn="0" w:oddVBand="0" w:evenVBand="0" w:oddHBand="1"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9576" w:type="dxa"/>
            <w:gridSpan w:val="7"/>
            <w:tcBorders>
              <w:left w:val="nil"/>
              <w:bottom w:val="nil"/>
              <w:right w:val="nil"/>
            </w:tcBorders>
            <w:shd w:val="clear" w:color="auto" w:fill="auto"/>
          </w:tcPr>
          <w:p w14:paraId="0365393F" w14:textId="2F0CCC3D" w:rsidR="000440A5" w:rsidRPr="00364AE2" w:rsidRDefault="006C38C7" w:rsidP="00FA29A0">
            <w:pPr>
              <w:pStyle w:val="Tablefooterlastline"/>
            </w:pPr>
            <w:r w:rsidRPr="00364AE2">
              <w:t>Sou</w:t>
            </w:r>
            <w:r>
              <w:t>rce</w:t>
            </w:r>
            <w:r w:rsidR="000440A5" w:rsidRPr="00364AE2">
              <w:t>: EMSI Gap Analysis Model</w:t>
            </w:r>
          </w:p>
          <w:p w14:paraId="5D51E354" w14:textId="54163B55" w:rsidR="000440A5" w:rsidRPr="00394493" w:rsidRDefault="000440A5" w:rsidP="00062BC5">
            <w:pPr>
              <w:jc w:val="left"/>
              <w:rPr>
                <w:rFonts w:asciiTheme="minorHAnsi" w:hAnsiTheme="minorHAnsi"/>
                <w:b/>
                <w:i/>
                <w:color w:val="FF0000"/>
                <w:sz w:val="18"/>
                <w:szCs w:val="18"/>
              </w:rPr>
            </w:pPr>
            <w:r w:rsidRPr="00364AE2">
              <w:rPr>
                <w:rFonts w:ascii="Arial" w:hAnsi="Arial" w:cs="Arial"/>
                <w:sz w:val="16"/>
                <w:szCs w:val="22"/>
              </w:rPr>
              <w:t>Numbers may not sum due to rounding</w:t>
            </w:r>
            <w:r w:rsidR="00297000">
              <w:rPr>
                <w:rFonts w:ascii="Arial" w:hAnsi="Arial" w:cs="Arial"/>
                <w:sz w:val="16"/>
                <w:szCs w:val="22"/>
              </w:rPr>
              <w:t>.</w:t>
            </w:r>
          </w:p>
        </w:tc>
      </w:tr>
    </w:tbl>
    <w:p w14:paraId="667372EE" w14:textId="77777777" w:rsidR="00D87719" w:rsidRDefault="00D87719">
      <w:pPr>
        <w:spacing w:before="0" w:after="200" w:line="276" w:lineRule="auto"/>
        <w:jc w:val="left"/>
        <w:rPr>
          <w:rFonts w:ascii="Arial" w:hAnsi="Arial" w:cs="Arial"/>
          <w:b/>
          <w:bCs/>
          <w:iCs/>
          <w:sz w:val="30"/>
          <w:szCs w:val="30"/>
        </w:rPr>
      </w:pPr>
      <w:r>
        <w:br w:type="page"/>
      </w:r>
    </w:p>
    <w:p w14:paraId="2EA8689F" w14:textId="3E76965E" w:rsidR="00641562" w:rsidRDefault="00641562" w:rsidP="00641562">
      <w:pPr>
        <w:pStyle w:val="Heading2"/>
      </w:pPr>
      <w:bookmarkStart w:id="21" w:name="_Toc428785417"/>
      <w:r>
        <w:lastRenderedPageBreak/>
        <w:t>Associate’s Level Gap Analysis</w:t>
      </w:r>
      <w:bookmarkEnd w:id="21"/>
      <w:r>
        <w:t xml:space="preserve"> </w:t>
      </w:r>
    </w:p>
    <w:p w14:paraId="2550AC68" w14:textId="7F470A9B" w:rsidR="00A01EAA" w:rsidRPr="00A01EAA" w:rsidRDefault="005F4E2C" w:rsidP="00A01EAA">
      <w:pPr>
        <w:rPr>
          <w:rFonts w:cs="Arial"/>
          <w:color w:val="000000"/>
        </w:rPr>
      </w:pPr>
      <w:r>
        <w:t>Figure 2.</w:t>
      </w:r>
      <w:r w:rsidR="006F3465">
        <w:t>2</w:t>
      </w:r>
      <w:r w:rsidR="00641562" w:rsidRPr="005C0703">
        <w:t xml:space="preserve"> below</w:t>
      </w:r>
      <w:r w:rsidR="00641562">
        <w:t xml:space="preserve"> provides a</w:t>
      </w:r>
      <w:r w:rsidR="00E70481">
        <w:t>n</w:t>
      </w:r>
      <w:r w:rsidR="00641562">
        <w:t xml:space="preserve"> illustration of the top gaps for </w:t>
      </w:r>
      <w:r w:rsidR="006C38C7">
        <w:t>CCC</w:t>
      </w:r>
      <w:r w:rsidR="00641562">
        <w:t xml:space="preserve"> associate’s degree level programs.</w:t>
      </w:r>
      <w:r w:rsidR="00A01EAA">
        <w:t xml:space="preserve"> </w:t>
      </w:r>
      <w:r w:rsidR="006C38C7">
        <w:t>CCC</w:t>
      </w:r>
      <w:r w:rsidR="00A01EAA">
        <w:t xml:space="preserve"> had </w:t>
      </w:r>
      <w:r w:rsidR="007C0C8B">
        <w:t xml:space="preserve">a total of </w:t>
      </w:r>
      <w:r w:rsidR="00062BC5">
        <w:t>five</w:t>
      </w:r>
      <w:r w:rsidR="007C0C8B">
        <w:t xml:space="preserve"> gaps greater than 20</w:t>
      </w:r>
      <w:r w:rsidR="007C0C8B">
        <w:rPr>
          <w:rFonts w:cs="Arial"/>
          <w:color w:val="000000"/>
        </w:rPr>
        <w:t xml:space="preserve"> at this education level.</w:t>
      </w:r>
    </w:p>
    <w:p w14:paraId="73639D73" w14:textId="2E67A6D7" w:rsidR="00641562" w:rsidRDefault="00641562" w:rsidP="008D098C">
      <w:pPr>
        <w:pStyle w:val="FigureTitle"/>
      </w:pPr>
      <w:r w:rsidRPr="00562108">
        <w:t>Figure</w:t>
      </w:r>
      <w:r w:rsidR="005F4E2C">
        <w:t xml:space="preserve"> 2.</w:t>
      </w:r>
      <w:r w:rsidR="006F3465">
        <w:t>2</w:t>
      </w:r>
      <w:r>
        <w:t xml:space="preserve">: </w:t>
      </w:r>
      <w:r w:rsidRPr="005C0703">
        <w:t xml:space="preserve">Supply and Demand for </w:t>
      </w:r>
      <w:r w:rsidR="006C38C7">
        <w:t>CCC</w:t>
      </w:r>
      <w:r w:rsidRPr="005C0703">
        <w:t xml:space="preserve"> </w:t>
      </w:r>
      <w:r>
        <w:t>Associate’s Degree</w:t>
      </w:r>
      <w:r w:rsidRPr="005C0703">
        <w:t xml:space="preserve"> Level Programs</w:t>
      </w:r>
    </w:p>
    <w:p w14:paraId="702407A6" w14:textId="46633A93" w:rsidR="000904A1" w:rsidRPr="00562108" w:rsidRDefault="00D1274A" w:rsidP="008D098C">
      <w:pPr>
        <w:pStyle w:val="FigureTitle"/>
      </w:pPr>
      <w:r>
        <w:rPr>
          <w:noProof/>
        </w:rPr>
        <w:drawing>
          <wp:inline distT="0" distB="0" distL="0" distR="0" wp14:anchorId="67CAE860" wp14:editId="572BA64D">
            <wp:extent cx="5943600" cy="3109595"/>
            <wp:effectExtent l="0" t="0" r="1905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6301B6" w14:textId="4C4126A9" w:rsidR="00641562" w:rsidRDefault="00641562" w:rsidP="00641562">
      <w:r w:rsidRPr="0090761C">
        <w:t xml:space="preserve">Similar to the </w:t>
      </w:r>
      <w:r w:rsidR="0063684C" w:rsidRPr="0090761C">
        <w:t xml:space="preserve">previous </w:t>
      </w:r>
      <w:r w:rsidRPr="0090761C">
        <w:t xml:space="preserve">table, Table </w:t>
      </w:r>
      <w:r w:rsidR="005F4E2C" w:rsidRPr="0090761C">
        <w:t>2.</w:t>
      </w:r>
      <w:r w:rsidRPr="0090761C">
        <w:t xml:space="preserve">2 displays supply and demand for all associate’s level programs for which </w:t>
      </w:r>
      <w:r w:rsidR="006C38C7">
        <w:t>CCC</w:t>
      </w:r>
      <w:r w:rsidRPr="0090761C">
        <w:t xml:space="preserve"> provides training. Again, the table only includes program groups available at </w:t>
      </w:r>
      <w:r w:rsidR="006C38C7">
        <w:t>CCC</w:t>
      </w:r>
      <w:r w:rsidRPr="0090761C">
        <w:t xml:space="preserve">. Other program groups in the region may face larger gaps, but </w:t>
      </w:r>
      <w:r w:rsidR="006C38C7">
        <w:t>CCC</w:t>
      </w:r>
      <w:r w:rsidRPr="0090761C">
        <w:t xml:space="preserve"> does not offer the program. </w:t>
      </w:r>
      <w:r w:rsidR="005F4E2C" w:rsidRPr="0090761C">
        <w:t>Table 2.</w:t>
      </w:r>
      <w:r w:rsidRPr="0090761C">
        <w:t xml:space="preserve">3 addresses programs that are not currently being offered but which would address considerable regional </w:t>
      </w:r>
      <w:r w:rsidR="006C38C7" w:rsidRPr="0090761C">
        <w:t>workfo</w:t>
      </w:r>
      <w:r w:rsidR="006C38C7">
        <w:t>rce</w:t>
      </w:r>
      <w:r w:rsidRPr="0090761C">
        <w:t xml:space="preserve"> gaps.</w:t>
      </w:r>
      <w:r w:rsidR="00B257E1" w:rsidRPr="0090761C">
        <w:t xml:space="preserve"> </w:t>
      </w:r>
      <w:r w:rsidR="006C38C7">
        <w:t>CCC</w:t>
      </w:r>
      <w:r w:rsidR="00B257E1" w:rsidRPr="0090761C">
        <w:t xml:space="preserve"> is </w:t>
      </w:r>
      <w:r w:rsidR="00EE03F6" w:rsidRPr="0090761C">
        <w:t xml:space="preserve">once again </w:t>
      </w:r>
      <w:r w:rsidR="006818B4">
        <w:t>only one of the many institutions</w:t>
      </w:r>
      <w:r w:rsidR="00B257E1" w:rsidRPr="0090761C">
        <w:t xml:space="preserve"> offering </w:t>
      </w:r>
      <w:r w:rsidR="00A2180C" w:rsidRPr="0090761C">
        <w:t>associate’s degree</w:t>
      </w:r>
      <w:r w:rsidR="00B257E1" w:rsidRPr="0090761C">
        <w:t xml:space="preserve"> level programs</w:t>
      </w:r>
      <w:r w:rsidR="009C4C7B" w:rsidRPr="0090761C">
        <w:t xml:space="preserve"> in the region</w:t>
      </w:r>
      <w:r w:rsidR="00875478" w:rsidRPr="0090761C">
        <w:t xml:space="preserve">, </w:t>
      </w:r>
      <w:r w:rsidR="006020E1" w:rsidRPr="0090761C">
        <w:t xml:space="preserve">and </w:t>
      </w:r>
      <w:r w:rsidR="002657C3" w:rsidRPr="0090761C">
        <w:t>as such, their</w:t>
      </w:r>
      <w:r w:rsidR="006020E1" w:rsidRPr="0090761C">
        <w:t xml:space="preserve"> completers</w:t>
      </w:r>
      <w:r w:rsidR="002657C3" w:rsidRPr="0090761C">
        <w:t xml:space="preserve"> comprise </w:t>
      </w:r>
      <w:r w:rsidR="00E43396">
        <w:t>8</w:t>
      </w:r>
      <w:r w:rsidR="00EE03F6" w:rsidRPr="0090761C">
        <w:t>%</w:t>
      </w:r>
      <w:r w:rsidR="006020E1" w:rsidRPr="0090761C">
        <w:t xml:space="preserve"> of total regional supply.</w:t>
      </w:r>
    </w:p>
    <w:p w14:paraId="3E069F7F" w14:textId="771735DA" w:rsidR="00F978DE" w:rsidRPr="0090761C" w:rsidRDefault="00F978DE" w:rsidP="00641562">
      <w:r>
        <w:t xml:space="preserve">Many of the programs that were training for undersupplied occupations at the certificate level are still undersupplied at the associate’s degree level. </w:t>
      </w:r>
      <w:r w:rsidR="004E77E5">
        <w:t xml:space="preserve">General Office Occupations &amp; Clerical Services </w:t>
      </w:r>
      <w:r w:rsidR="00B1524D">
        <w:t>is the largest gap (</w:t>
      </w:r>
      <w:r w:rsidR="004E77E5">
        <w:t>gap of 669</w:t>
      </w:r>
      <w:r w:rsidR="00B1465C">
        <w:t>; median hourly earnings $13.</w:t>
      </w:r>
      <w:r w:rsidR="004E77E5">
        <w:t>8</w:t>
      </w:r>
      <w:r w:rsidR="00B1465C">
        <w:t>9</w:t>
      </w:r>
      <w:r>
        <w:t>)</w:t>
      </w:r>
      <w:r w:rsidR="00B1524D">
        <w:t>.</w:t>
      </w:r>
      <w:r>
        <w:t xml:space="preserve"> </w:t>
      </w:r>
      <w:r w:rsidR="00D1274A">
        <w:t xml:space="preserve">The other four gaps at the associate’s degree level are: </w:t>
      </w:r>
      <w:r w:rsidR="004E77E5">
        <w:t xml:space="preserve">Child Development </w:t>
      </w:r>
      <w:r>
        <w:t xml:space="preserve">(gap of </w:t>
      </w:r>
      <w:r w:rsidR="004E77E5">
        <w:t>72</w:t>
      </w:r>
      <w:r w:rsidR="00E31BE8">
        <w:t>; median hourly earnings $</w:t>
      </w:r>
      <w:r w:rsidR="004E77E5">
        <w:t>9.90</w:t>
      </w:r>
      <w:r>
        <w:t>)</w:t>
      </w:r>
      <w:r w:rsidR="00D1274A">
        <w:t>,</w:t>
      </w:r>
      <w:r>
        <w:t xml:space="preserve"> </w:t>
      </w:r>
      <w:r w:rsidR="004E77E5">
        <w:t xml:space="preserve">Early Care &amp; Education </w:t>
      </w:r>
      <w:r>
        <w:t xml:space="preserve">(gap of </w:t>
      </w:r>
      <w:r w:rsidR="004E77E5">
        <w:t>32</w:t>
      </w:r>
      <w:r w:rsidR="00E31BE8">
        <w:t>; median hourly earnings $1</w:t>
      </w:r>
      <w:r w:rsidR="004E77E5">
        <w:t>9.58</w:t>
      </w:r>
      <w:r w:rsidR="00E31BE8">
        <w:t>)</w:t>
      </w:r>
      <w:r w:rsidR="00D1274A">
        <w:t>, General Agriculture Technology &amp; Sciences (gap of 31; median hourly earnings $19.25), and Accounting (gap of 27; median hourly earnings $26.45).</w:t>
      </w:r>
    </w:p>
    <w:p w14:paraId="76538622" w14:textId="51D14510" w:rsidR="00641562" w:rsidRDefault="00B257E1" w:rsidP="00641562">
      <w:r w:rsidRPr="00091C1D">
        <w:t>For the</w:t>
      </w:r>
      <w:r>
        <w:t xml:space="preserve"> </w:t>
      </w:r>
      <w:r w:rsidR="006C38C7">
        <w:t>CCC</w:t>
      </w:r>
      <w:r>
        <w:t xml:space="preserve"> </w:t>
      </w:r>
      <w:r w:rsidR="00B101E7">
        <w:t>Economic Region</w:t>
      </w:r>
      <w:r>
        <w:t>, the</w:t>
      </w:r>
      <w:r w:rsidR="00875478">
        <w:t>re are</w:t>
      </w:r>
      <w:r>
        <w:t xml:space="preserve"> </w:t>
      </w:r>
      <w:r w:rsidR="00D1274A">
        <w:t>13</w:t>
      </w:r>
      <w:r w:rsidR="006020E1">
        <w:t xml:space="preserve"> f</w:t>
      </w:r>
      <w:r w:rsidR="00875478">
        <w:t xml:space="preserve">ields with a </w:t>
      </w:r>
      <w:r w:rsidR="005009BA">
        <w:t xml:space="preserve">significant </w:t>
      </w:r>
      <w:r w:rsidR="00875478">
        <w:t>surplus</w:t>
      </w:r>
      <w:r>
        <w:t>.</w:t>
      </w:r>
      <w:r w:rsidR="00A103EF">
        <w:t xml:space="preserve"> </w:t>
      </w:r>
      <w:r w:rsidR="006020E1">
        <w:t xml:space="preserve">The largest reported surplus is in </w:t>
      </w:r>
      <w:r w:rsidR="00E31BE8">
        <w:t>Nursing</w:t>
      </w:r>
      <w:r w:rsidR="006020E1">
        <w:t xml:space="preserve">. </w:t>
      </w:r>
      <w:r w:rsidR="006020E1">
        <w:lastRenderedPageBreak/>
        <w:t xml:space="preserve">There </w:t>
      </w:r>
      <w:r w:rsidR="00262790">
        <w:t xml:space="preserve">are </w:t>
      </w:r>
      <w:r w:rsidR="00E31BE8">
        <w:t>110</w:t>
      </w:r>
      <w:r w:rsidR="005009BA">
        <w:t xml:space="preserve"> </w:t>
      </w:r>
      <w:r w:rsidR="003657FF">
        <w:t>annual opening</w:t>
      </w:r>
      <w:r w:rsidR="0024614D">
        <w:t>s</w:t>
      </w:r>
      <w:r w:rsidR="005009BA">
        <w:t xml:space="preserve"> compared to</w:t>
      </w:r>
      <w:r w:rsidR="006020E1">
        <w:t xml:space="preserve"> </w:t>
      </w:r>
      <w:r w:rsidR="00E31BE8">
        <w:t>62</w:t>
      </w:r>
      <w:r w:rsidR="00D1274A">
        <w:t>1</w:t>
      </w:r>
      <w:r w:rsidR="006020E1">
        <w:t xml:space="preserve"> regional completers</w:t>
      </w:r>
      <w:r w:rsidR="00091C1D">
        <w:t xml:space="preserve"> (</w:t>
      </w:r>
      <w:r w:rsidR="00D1274A">
        <w:t>seven</w:t>
      </w:r>
      <w:r w:rsidR="00091C1D">
        <w:t xml:space="preserve"> from </w:t>
      </w:r>
      <w:r w:rsidR="006C38C7">
        <w:t>CCC</w:t>
      </w:r>
      <w:r w:rsidR="00091C1D">
        <w:t>)</w:t>
      </w:r>
      <w:r w:rsidR="006020E1">
        <w:t xml:space="preserve">. </w:t>
      </w:r>
      <w:r w:rsidR="00D1274A">
        <w:t>General Social Sciences</w:t>
      </w:r>
      <w:r w:rsidR="005009BA">
        <w:t xml:space="preserve"> </w:t>
      </w:r>
      <w:r w:rsidR="006020E1">
        <w:t>is associated with the second largest surplus (</w:t>
      </w:r>
      <w:r w:rsidR="00D1274A">
        <w:t>surplus of 244</w:t>
      </w:r>
      <w:r w:rsidR="00D13CBB">
        <w:t>).</w:t>
      </w:r>
      <w:r w:rsidR="00262790">
        <w:t xml:space="preserve"> </w:t>
      </w:r>
      <w:r w:rsidR="00D1274A">
        <w:t>Administration of Justice</w:t>
      </w:r>
      <w:r w:rsidR="00262790">
        <w:t xml:space="preserve"> is the third largest surplus (</w:t>
      </w:r>
      <w:r w:rsidR="00D1274A">
        <w:t>surplus of 176</w:t>
      </w:r>
      <w:r w:rsidR="00262790">
        <w:t>).</w:t>
      </w:r>
      <w:r w:rsidR="005009BA">
        <w:t xml:space="preserve"> As alluded to earlier, i</w:t>
      </w:r>
      <w:r w:rsidR="00B93D66">
        <w:t xml:space="preserve">t is highly likely that </w:t>
      </w:r>
      <w:r w:rsidR="006C38C7">
        <w:t>CCC</w:t>
      </w:r>
      <w:r w:rsidR="00B93D66">
        <w:t xml:space="preserve"> completers are finding jobs outside the </w:t>
      </w:r>
      <w:r w:rsidR="006C38C7">
        <w:t>CCC</w:t>
      </w:r>
      <w:r w:rsidR="00B93D66">
        <w:t xml:space="preserve"> </w:t>
      </w:r>
      <w:r w:rsidR="00B101E7">
        <w:t>Economic Region</w:t>
      </w:r>
      <w:r w:rsidR="00B93D66">
        <w:t>. A review of placement rates could provide additional information.</w:t>
      </w:r>
      <w:r w:rsidR="00E31BE8">
        <w:t xml:space="preserve"> Additionally, for some programs, completers may be intending to continue their education at a four year institution instead of immediately entering the </w:t>
      </w:r>
      <w:r w:rsidR="006C38C7">
        <w:t>workforce</w:t>
      </w:r>
      <w:r w:rsidR="00E31BE8">
        <w:t>.</w:t>
      </w:r>
    </w:p>
    <w:p w14:paraId="7D4DB2FF" w14:textId="3D506D57" w:rsidR="00641562" w:rsidRDefault="005F4E2C" w:rsidP="00662CB2">
      <w:pPr>
        <w:pStyle w:val="Tabletitle"/>
        <w:keepNext w:val="0"/>
        <w:widowControl w:val="0"/>
      </w:pPr>
      <w:r>
        <w:t>Table 2.</w:t>
      </w:r>
      <w:r w:rsidR="00641562">
        <w:t>2</w:t>
      </w:r>
      <w:r w:rsidR="00641562" w:rsidRPr="007C1DA3">
        <w:t xml:space="preserve">: Supply and Demand for </w:t>
      </w:r>
      <w:r w:rsidR="006C38C7">
        <w:t>CCC</w:t>
      </w:r>
      <w:r w:rsidR="00641562" w:rsidRPr="007C1DA3">
        <w:t xml:space="preserve"> </w:t>
      </w:r>
      <w:r w:rsidR="00641562">
        <w:t>Associate’s</w:t>
      </w:r>
      <w:r w:rsidR="00641562" w:rsidRPr="007C1DA3">
        <w:t xml:space="preserve"> Level Programs</w:t>
      </w:r>
    </w:p>
    <w:tbl>
      <w:tblPr>
        <w:tblStyle w:val="MediumShading1-Accent1"/>
        <w:tblW w:w="9918" w:type="dxa"/>
        <w:tblBorders>
          <w:bottom w:val="none" w:sz="0" w:space="0" w:color="auto"/>
          <w:insideV w:val="single" w:sz="8" w:space="0" w:color="7BA0CD" w:themeColor="accent1" w:themeTint="BF"/>
        </w:tblBorders>
        <w:tblLayout w:type="fixed"/>
        <w:tblLook w:val="04A0" w:firstRow="1" w:lastRow="0" w:firstColumn="1" w:lastColumn="0" w:noHBand="0" w:noVBand="1"/>
      </w:tblPr>
      <w:tblGrid>
        <w:gridCol w:w="918"/>
        <w:gridCol w:w="3510"/>
        <w:gridCol w:w="1170"/>
        <w:gridCol w:w="1260"/>
        <w:gridCol w:w="1260"/>
        <w:gridCol w:w="900"/>
        <w:gridCol w:w="900"/>
      </w:tblGrid>
      <w:tr w:rsidR="00FA29A0" w:rsidRPr="003B7F14" w14:paraId="26D0F0D7" w14:textId="77777777" w:rsidTr="003C4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top w:val="none" w:sz="0" w:space="0" w:color="auto"/>
              <w:left w:val="none" w:sz="0" w:space="0" w:color="auto"/>
              <w:right w:val="none" w:sz="0" w:space="0" w:color="auto"/>
            </w:tcBorders>
            <w:hideMark/>
          </w:tcPr>
          <w:p w14:paraId="7A1E6D63" w14:textId="1F9CEF89" w:rsidR="00FA29A0" w:rsidRPr="00526408" w:rsidRDefault="00052DD2" w:rsidP="0053005F">
            <w:pPr>
              <w:pStyle w:val="Tableheaderleft"/>
              <w:keepNext w:val="0"/>
              <w:widowControl w:val="0"/>
              <w:jc w:val="center"/>
              <w:rPr>
                <w:b/>
              </w:rPr>
            </w:pPr>
            <w:r>
              <w:rPr>
                <w:b/>
              </w:rPr>
              <w:t>TOP</w:t>
            </w:r>
            <w:r w:rsidR="00FA29A0">
              <w:rPr>
                <w:b/>
              </w:rPr>
              <w:t xml:space="preserve"> Code</w:t>
            </w:r>
          </w:p>
        </w:tc>
        <w:tc>
          <w:tcPr>
            <w:tcW w:w="3510" w:type="dxa"/>
            <w:tcBorders>
              <w:top w:val="none" w:sz="0" w:space="0" w:color="auto"/>
              <w:left w:val="none" w:sz="0" w:space="0" w:color="auto"/>
              <w:right w:val="none" w:sz="0" w:space="0" w:color="auto"/>
            </w:tcBorders>
            <w:hideMark/>
          </w:tcPr>
          <w:p w14:paraId="7C577216" w14:textId="65B7AB7F" w:rsidR="00FA29A0" w:rsidRPr="00526408" w:rsidRDefault="00052DD2" w:rsidP="0053005F">
            <w:pPr>
              <w:pStyle w:val="Tableheadercenter"/>
              <w:keepNext w:val="0"/>
              <w:widowControl w:val="0"/>
              <w:cnfStyle w:val="100000000000" w:firstRow="1" w:lastRow="0" w:firstColumn="0" w:lastColumn="0" w:oddVBand="0" w:evenVBand="0" w:oddHBand="0" w:evenHBand="0" w:firstRowFirstColumn="0" w:firstRowLastColumn="0" w:lastRowFirstColumn="0" w:lastRowLastColumn="0"/>
              <w:rPr>
                <w:b/>
              </w:rPr>
            </w:pPr>
            <w:r>
              <w:rPr>
                <w:b/>
              </w:rPr>
              <w:t>TOP</w:t>
            </w:r>
            <w:r w:rsidR="00FA29A0" w:rsidRPr="00526408">
              <w:rPr>
                <w:b/>
              </w:rPr>
              <w:t xml:space="preserve"> Title</w:t>
            </w:r>
          </w:p>
        </w:tc>
        <w:tc>
          <w:tcPr>
            <w:tcW w:w="1170" w:type="dxa"/>
            <w:tcBorders>
              <w:top w:val="none" w:sz="0" w:space="0" w:color="auto"/>
              <w:left w:val="none" w:sz="0" w:space="0" w:color="auto"/>
              <w:right w:val="none" w:sz="0" w:space="0" w:color="auto"/>
            </w:tcBorders>
            <w:hideMark/>
          </w:tcPr>
          <w:p w14:paraId="41C0B140" w14:textId="77777777" w:rsidR="00FA29A0" w:rsidRPr="00526408" w:rsidRDefault="00FA29A0" w:rsidP="0053005F">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sidRPr="00526408">
              <w:rPr>
                <w:b/>
              </w:rPr>
              <w:t>Average Annual Openings</w:t>
            </w:r>
          </w:p>
        </w:tc>
        <w:tc>
          <w:tcPr>
            <w:tcW w:w="1260" w:type="dxa"/>
            <w:tcBorders>
              <w:top w:val="none" w:sz="0" w:space="0" w:color="auto"/>
              <w:left w:val="none" w:sz="0" w:space="0" w:color="auto"/>
              <w:right w:val="none" w:sz="0" w:space="0" w:color="auto"/>
            </w:tcBorders>
          </w:tcPr>
          <w:p w14:paraId="185CB673" w14:textId="77777777" w:rsidR="00FA29A0" w:rsidRPr="00AA12DC" w:rsidRDefault="00FA29A0" w:rsidP="0053005F">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sidRPr="00AA12DC">
              <w:rPr>
                <w:b/>
              </w:rPr>
              <w:t>Average Annual Completers</w:t>
            </w:r>
          </w:p>
        </w:tc>
        <w:tc>
          <w:tcPr>
            <w:tcW w:w="1260" w:type="dxa"/>
            <w:tcBorders>
              <w:top w:val="none" w:sz="0" w:space="0" w:color="auto"/>
              <w:left w:val="none" w:sz="0" w:space="0" w:color="auto"/>
              <w:right w:val="none" w:sz="0" w:space="0" w:color="auto"/>
            </w:tcBorders>
            <w:hideMark/>
          </w:tcPr>
          <w:p w14:paraId="37D01738" w14:textId="20A84C2D" w:rsidR="00FA29A0" w:rsidRPr="00526408" w:rsidRDefault="00FA29A0" w:rsidP="0053005F">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Pr>
                <w:b/>
              </w:rPr>
              <w:t xml:space="preserve">Average Annual </w:t>
            </w:r>
            <w:r w:rsidR="006C38C7">
              <w:rPr>
                <w:b/>
              </w:rPr>
              <w:t>CCC</w:t>
            </w:r>
            <w:r w:rsidRPr="00526408">
              <w:rPr>
                <w:b/>
              </w:rPr>
              <w:t xml:space="preserve"> Completers</w:t>
            </w:r>
          </w:p>
        </w:tc>
        <w:tc>
          <w:tcPr>
            <w:tcW w:w="900" w:type="dxa"/>
            <w:tcBorders>
              <w:top w:val="none" w:sz="0" w:space="0" w:color="auto"/>
              <w:left w:val="none" w:sz="0" w:space="0" w:color="auto"/>
              <w:right w:val="none" w:sz="0" w:space="0" w:color="auto"/>
            </w:tcBorders>
          </w:tcPr>
          <w:p w14:paraId="45179716" w14:textId="77777777" w:rsidR="00FA29A0" w:rsidRPr="00526408" w:rsidRDefault="00FA29A0" w:rsidP="0053005F">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sidRPr="00526408">
              <w:rPr>
                <w:b/>
              </w:rPr>
              <w:t>Total Gap or Surplus</w:t>
            </w:r>
          </w:p>
        </w:tc>
        <w:tc>
          <w:tcPr>
            <w:tcW w:w="900" w:type="dxa"/>
            <w:tcBorders>
              <w:top w:val="none" w:sz="0" w:space="0" w:color="auto"/>
              <w:left w:val="none" w:sz="0" w:space="0" w:color="auto"/>
              <w:right w:val="none" w:sz="0" w:space="0" w:color="auto"/>
            </w:tcBorders>
            <w:hideMark/>
          </w:tcPr>
          <w:p w14:paraId="350BF55E" w14:textId="77777777" w:rsidR="00FA29A0" w:rsidRPr="00526408" w:rsidRDefault="00FA29A0" w:rsidP="0053005F">
            <w:pPr>
              <w:pStyle w:val="Tableheaderleft"/>
              <w:keepNext w:val="0"/>
              <w:widowControl w:val="0"/>
              <w:jc w:val="center"/>
              <w:cnfStyle w:val="100000000000" w:firstRow="1" w:lastRow="0" w:firstColumn="0" w:lastColumn="0" w:oddVBand="0" w:evenVBand="0" w:oddHBand="0" w:evenHBand="0" w:firstRowFirstColumn="0" w:firstRowLastColumn="0" w:lastRowFirstColumn="0" w:lastRowLastColumn="0"/>
              <w:rPr>
                <w:b/>
              </w:rPr>
            </w:pPr>
            <w:r w:rsidRPr="00EB1C84">
              <w:rPr>
                <w:b/>
              </w:rPr>
              <w:t>Median Hourly Wage</w:t>
            </w:r>
          </w:p>
        </w:tc>
      </w:tr>
      <w:tr w:rsidR="006C0F11" w:rsidRPr="003B7F14" w14:paraId="5D02FFF1"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38B42BD7" w14:textId="6A70994A" w:rsidR="006C0F11" w:rsidRPr="000904A1" w:rsidRDefault="006C0F11" w:rsidP="006C0F11">
            <w:pPr>
              <w:pStyle w:val="Tablenormalleft"/>
              <w:keepNext w:val="0"/>
              <w:widowControl w:val="0"/>
              <w:jc w:val="left"/>
              <w:rPr>
                <w:szCs w:val="18"/>
              </w:rPr>
            </w:pPr>
            <w:r w:rsidRPr="004A1CDB">
              <w:t>???</w:t>
            </w:r>
          </w:p>
        </w:tc>
        <w:tc>
          <w:tcPr>
            <w:tcW w:w="3510" w:type="dxa"/>
            <w:tcBorders>
              <w:left w:val="none" w:sz="0" w:space="0" w:color="auto"/>
              <w:bottom w:val="single" w:sz="8" w:space="0" w:color="7BA0CD" w:themeColor="accent1" w:themeTint="BF"/>
              <w:right w:val="none" w:sz="0" w:space="0" w:color="auto"/>
            </w:tcBorders>
            <w:noWrap/>
            <w:vAlign w:val="center"/>
            <w:hideMark/>
          </w:tcPr>
          <w:p w14:paraId="7302B8BC" w14:textId="681BC814"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General Office Occupations and Clerical Services</w:t>
            </w:r>
          </w:p>
        </w:tc>
        <w:tc>
          <w:tcPr>
            <w:tcW w:w="1170" w:type="dxa"/>
            <w:tcBorders>
              <w:left w:val="none" w:sz="0" w:space="0" w:color="auto"/>
              <w:bottom w:val="single" w:sz="8" w:space="0" w:color="7BA0CD" w:themeColor="accent1" w:themeTint="BF"/>
              <w:right w:val="none" w:sz="0" w:space="0" w:color="auto"/>
            </w:tcBorders>
            <w:noWrap/>
            <w:vAlign w:val="center"/>
            <w:hideMark/>
          </w:tcPr>
          <w:p w14:paraId="4A75F823" w14:textId="13501987"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761</w:t>
            </w:r>
          </w:p>
        </w:tc>
        <w:tc>
          <w:tcPr>
            <w:tcW w:w="1260" w:type="dxa"/>
            <w:tcBorders>
              <w:left w:val="none" w:sz="0" w:space="0" w:color="auto"/>
              <w:bottom w:val="single" w:sz="8" w:space="0" w:color="7BA0CD" w:themeColor="accent1" w:themeTint="BF"/>
              <w:right w:val="none" w:sz="0" w:space="0" w:color="auto"/>
            </w:tcBorders>
            <w:vAlign w:val="center"/>
          </w:tcPr>
          <w:p w14:paraId="2ABD2983" w14:textId="4CE6557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92</w:t>
            </w:r>
          </w:p>
        </w:tc>
        <w:tc>
          <w:tcPr>
            <w:tcW w:w="1260" w:type="dxa"/>
            <w:tcBorders>
              <w:left w:val="none" w:sz="0" w:space="0" w:color="auto"/>
              <w:bottom w:val="single" w:sz="8" w:space="0" w:color="7BA0CD" w:themeColor="accent1" w:themeTint="BF"/>
              <w:right w:val="none" w:sz="0" w:space="0" w:color="auto"/>
            </w:tcBorders>
            <w:noWrap/>
            <w:vAlign w:val="center"/>
            <w:hideMark/>
          </w:tcPr>
          <w:p w14:paraId="35EE556A" w14:textId="31D00EA3"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5</w:t>
            </w:r>
          </w:p>
        </w:tc>
        <w:tc>
          <w:tcPr>
            <w:tcW w:w="900" w:type="dxa"/>
            <w:tcBorders>
              <w:left w:val="none" w:sz="0" w:space="0" w:color="auto"/>
              <w:bottom w:val="single" w:sz="8" w:space="0" w:color="7BA0CD" w:themeColor="accent1" w:themeTint="BF"/>
              <w:right w:val="none" w:sz="0" w:space="0" w:color="auto"/>
            </w:tcBorders>
            <w:vAlign w:val="center"/>
          </w:tcPr>
          <w:p w14:paraId="134FA0A6" w14:textId="24C70272"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669 </w:t>
            </w:r>
          </w:p>
        </w:tc>
        <w:tc>
          <w:tcPr>
            <w:tcW w:w="900" w:type="dxa"/>
            <w:tcBorders>
              <w:left w:val="none" w:sz="0" w:space="0" w:color="auto"/>
              <w:bottom w:val="single" w:sz="8" w:space="0" w:color="7BA0CD" w:themeColor="accent1" w:themeTint="BF"/>
            </w:tcBorders>
            <w:noWrap/>
            <w:vAlign w:val="center"/>
            <w:hideMark/>
          </w:tcPr>
          <w:p w14:paraId="70D2AB50" w14:textId="2FD4E3AD"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$13.89 </w:t>
            </w:r>
          </w:p>
        </w:tc>
      </w:tr>
      <w:tr w:rsidR="006C0F11" w:rsidRPr="003B7F14" w14:paraId="6E614888"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57219F55" w14:textId="5D9DDBEF" w:rsidR="006C0F11" w:rsidRPr="000904A1" w:rsidRDefault="006C0F11" w:rsidP="006C0F11">
            <w:pPr>
              <w:pStyle w:val="Tablenormalleft"/>
              <w:keepNext w:val="0"/>
              <w:widowControl w:val="0"/>
              <w:jc w:val="left"/>
              <w:rPr>
                <w:szCs w:val="18"/>
              </w:rPr>
            </w:pPr>
            <w:r w:rsidRPr="004A1CDB">
              <w:t>1305.00</w:t>
            </w:r>
          </w:p>
        </w:tc>
        <w:tc>
          <w:tcPr>
            <w:tcW w:w="3510" w:type="dxa"/>
            <w:tcBorders>
              <w:left w:val="none" w:sz="0" w:space="0" w:color="auto"/>
              <w:bottom w:val="single" w:sz="8" w:space="0" w:color="7BA0CD" w:themeColor="accent1" w:themeTint="BF"/>
              <w:right w:val="none" w:sz="0" w:space="0" w:color="auto"/>
            </w:tcBorders>
            <w:noWrap/>
            <w:vAlign w:val="center"/>
            <w:hideMark/>
          </w:tcPr>
          <w:p w14:paraId="3FEA7777" w14:textId="717CB92B"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Child Development/Early Care and Education</w:t>
            </w:r>
            <w:r w:rsidR="00AA69F5">
              <w:t xml:space="preserve"> (CIP 19.0706)</w:t>
            </w:r>
          </w:p>
        </w:tc>
        <w:tc>
          <w:tcPr>
            <w:tcW w:w="1170" w:type="dxa"/>
            <w:tcBorders>
              <w:left w:val="none" w:sz="0" w:space="0" w:color="auto"/>
              <w:bottom w:val="single" w:sz="8" w:space="0" w:color="7BA0CD" w:themeColor="accent1" w:themeTint="BF"/>
              <w:right w:val="none" w:sz="0" w:space="0" w:color="auto"/>
            </w:tcBorders>
            <w:noWrap/>
            <w:vAlign w:val="center"/>
            <w:hideMark/>
          </w:tcPr>
          <w:p w14:paraId="20F5E62D" w14:textId="4F0E20BE"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107</w:t>
            </w:r>
          </w:p>
        </w:tc>
        <w:tc>
          <w:tcPr>
            <w:tcW w:w="1260" w:type="dxa"/>
            <w:tcBorders>
              <w:left w:val="none" w:sz="0" w:space="0" w:color="auto"/>
              <w:bottom w:val="single" w:sz="8" w:space="0" w:color="7BA0CD" w:themeColor="accent1" w:themeTint="BF"/>
              <w:right w:val="none" w:sz="0" w:space="0" w:color="auto"/>
            </w:tcBorders>
            <w:vAlign w:val="center"/>
          </w:tcPr>
          <w:p w14:paraId="148C0CF0" w14:textId="7CEB44BF"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35</w:t>
            </w:r>
          </w:p>
        </w:tc>
        <w:tc>
          <w:tcPr>
            <w:tcW w:w="1260" w:type="dxa"/>
            <w:tcBorders>
              <w:left w:val="none" w:sz="0" w:space="0" w:color="auto"/>
              <w:bottom w:val="single" w:sz="8" w:space="0" w:color="7BA0CD" w:themeColor="accent1" w:themeTint="BF"/>
              <w:right w:val="none" w:sz="0" w:space="0" w:color="auto"/>
            </w:tcBorders>
            <w:noWrap/>
            <w:vAlign w:val="center"/>
            <w:hideMark/>
          </w:tcPr>
          <w:p w14:paraId="5BD91CB1" w14:textId="252B033F"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30</w:t>
            </w:r>
          </w:p>
        </w:tc>
        <w:tc>
          <w:tcPr>
            <w:tcW w:w="900" w:type="dxa"/>
            <w:tcBorders>
              <w:left w:val="none" w:sz="0" w:space="0" w:color="auto"/>
              <w:bottom w:val="single" w:sz="8" w:space="0" w:color="7BA0CD" w:themeColor="accent1" w:themeTint="BF"/>
              <w:right w:val="none" w:sz="0" w:space="0" w:color="auto"/>
            </w:tcBorders>
            <w:vAlign w:val="center"/>
          </w:tcPr>
          <w:p w14:paraId="332E9369" w14:textId="6CD85E26"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72 </w:t>
            </w:r>
          </w:p>
        </w:tc>
        <w:tc>
          <w:tcPr>
            <w:tcW w:w="900" w:type="dxa"/>
            <w:tcBorders>
              <w:left w:val="none" w:sz="0" w:space="0" w:color="auto"/>
              <w:bottom w:val="single" w:sz="8" w:space="0" w:color="7BA0CD" w:themeColor="accent1" w:themeTint="BF"/>
            </w:tcBorders>
            <w:noWrap/>
            <w:vAlign w:val="center"/>
            <w:hideMark/>
          </w:tcPr>
          <w:p w14:paraId="1CD9E635" w14:textId="07F6CB3E"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$9.90 </w:t>
            </w:r>
          </w:p>
        </w:tc>
      </w:tr>
      <w:tr w:rsidR="006C0F11" w:rsidRPr="003B7F14" w14:paraId="50AA6B5A"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25287BF9" w14:textId="2850A22B" w:rsidR="006C0F11" w:rsidRPr="000904A1" w:rsidRDefault="006C0F11" w:rsidP="006C0F11">
            <w:pPr>
              <w:pStyle w:val="Tablenormalleft"/>
              <w:keepNext w:val="0"/>
              <w:widowControl w:val="0"/>
              <w:jc w:val="left"/>
              <w:rPr>
                <w:szCs w:val="18"/>
              </w:rPr>
            </w:pPr>
            <w:r w:rsidRPr="004A1CDB">
              <w:t>1305.00</w:t>
            </w:r>
          </w:p>
        </w:tc>
        <w:tc>
          <w:tcPr>
            <w:tcW w:w="3510" w:type="dxa"/>
            <w:tcBorders>
              <w:left w:val="none" w:sz="0" w:space="0" w:color="auto"/>
              <w:bottom w:val="single" w:sz="8" w:space="0" w:color="7BA0CD" w:themeColor="accent1" w:themeTint="BF"/>
              <w:right w:val="none" w:sz="0" w:space="0" w:color="auto"/>
            </w:tcBorders>
            <w:noWrap/>
            <w:vAlign w:val="center"/>
            <w:hideMark/>
          </w:tcPr>
          <w:p w14:paraId="1D28CEF5" w14:textId="5ECB168D"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Child Development/Early Care and Education</w:t>
            </w:r>
            <w:r w:rsidR="00AA69F5">
              <w:t xml:space="preserve"> (CIP 13.1210)</w:t>
            </w:r>
          </w:p>
        </w:tc>
        <w:tc>
          <w:tcPr>
            <w:tcW w:w="1170" w:type="dxa"/>
            <w:tcBorders>
              <w:left w:val="none" w:sz="0" w:space="0" w:color="auto"/>
              <w:bottom w:val="single" w:sz="8" w:space="0" w:color="7BA0CD" w:themeColor="accent1" w:themeTint="BF"/>
              <w:right w:val="none" w:sz="0" w:space="0" w:color="auto"/>
            </w:tcBorders>
            <w:noWrap/>
            <w:vAlign w:val="center"/>
            <w:hideMark/>
          </w:tcPr>
          <w:p w14:paraId="41985C21" w14:textId="1F5F9ACE"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35</w:t>
            </w:r>
          </w:p>
        </w:tc>
        <w:tc>
          <w:tcPr>
            <w:tcW w:w="1260" w:type="dxa"/>
            <w:tcBorders>
              <w:left w:val="none" w:sz="0" w:space="0" w:color="auto"/>
              <w:bottom w:val="single" w:sz="8" w:space="0" w:color="7BA0CD" w:themeColor="accent1" w:themeTint="BF"/>
              <w:right w:val="none" w:sz="0" w:space="0" w:color="auto"/>
            </w:tcBorders>
            <w:vAlign w:val="center"/>
          </w:tcPr>
          <w:p w14:paraId="0D1330A3" w14:textId="0EE79C67"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3</w:t>
            </w:r>
          </w:p>
        </w:tc>
        <w:tc>
          <w:tcPr>
            <w:tcW w:w="1260" w:type="dxa"/>
            <w:tcBorders>
              <w:left w:val="none" w:sz="0" w:space="0" w:color="auto"/>
              <w:bottom w:val="single" w:sz="8" w:space="0" w:color="7BA0CD" w:themeColor="accent1" w:themeTint="BF"/>
              <w:right w:val="none" w:sz="0" w:space="0" w:color="auto"/>
            </w:tcBorders>
            <w:noWrap/>
            <w:vAlign w:val="center"/>
            <w:hideMark/>
          </w:tcPr>
          <w:p w14:paraId="343D9E1B" w14:textId="35E3AB19"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3AE730D3" w14:textId="618E017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32 </w:t>
            </w:r>
          </w:p>
        </w:tc>
        <w:tc>
          <w:tcPr>
            <w:tcW w:w="900" w:type="dxa"/>
            <w:tcBorders>
              <w:left w:val="none" w:sz="0" w:space="0" w:color="auto"/>
              <w:bottom w:val="single" w:sz="8" w:space="0" w:color="7BA0CD" w:themeColor="accent1" w:themeTint="BF"/>
            </w:tcBorders>
            <w:noWrap/>
            <w:vAlign w:val="center"/>
            <w:hideMark/>
          </w:tcPr>
          <w:p w14:paraId="5248DF46" w14:textId="4BBCB112"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$19.58 </w:t>
            </w:r>
          </w:p>
        </w:tc>
      </w:tr>
      <w:tr w:rsidR="006C0F11" w:rsidRPr="003B7F14" w14:paraId="55117A1C"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34E53D41" w14:textId="5A517B5E" w:rsidR="006C0F11" w:rsidRPr="000904A1" w:rsidRDefault="006C0F11" w:rsidP="006C0F11">
            <w:pPr>
              <w:pStyle w:val="Tablenormalleft"/>
              <w:keepNext w:val="0"/>
              <w:widowControl w:val="0"/>
              <w:jc w:val="left"/>
              <w:rPr>
                <w:szCs w:val="18"/>
              </w:rPr>
            </w:pPr>
            <w:r w:rsidRPr="004A1CDB">
              <w:t>101.00</w:t>
            </w:r>
          </w:p>
        </w:tc>
        <w:tc>
          <w:tcPr>
            <w:tcW w:w="3510" w:type="dxa"/>
            <w:tcBorders>
              <w:left w:val="none" w:sz="0" w:space="0" w:color="auto"/>
              <w:bottom w:val="single" w:sz="8" w:space="0" w:color="7BA0CD" w:themeColor="accent1" w:themeTint="BF"/>
              <w:right w:val="none" w:sz="0" w:space="0" w:color="auto"/>
            </w:tcBorders>
            <w:noWrap/>
            <w:vAlign w:val="center"/>
            <w:hideMark/>
          </w:tcPr>
          <w:p w14:paraId="596BAD1F" w14:textId="0752407B"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Agriculture Technology and Sciences, General</w:t>
            </w:r>
            <w:r w:rsidR="00AA69F5">
              <w:t xml:space="preserve"> (CIP 1.0101)</w:t>
            </w:r>
          </w:p>
        </w:tc>
        <w:tc>
          <w:tcPr>
            <w:tcW w:w="1170" w:type="dxa"/>
            <w:tcBorders>
              <w:left w:val="none" w:sz="0" w:space="0" w:color="auto"/>
              <w:bottom w:val="single" w:sz="8" w:space="0" w:color="7BA0CD" w:themeColor="accent1" w:themeTint="BF"/>
              <w:right w:val="none" w:sz="0" w:space="0" w:color="auto"/>
            </w:tcBorders>
            <w:noWrap/>
            <w:vAlign w:val="center"/>
            <w:hideMark/>
          </w:tcPr>
          <w:p w14:paraId="12DD552E" w14:textId="1476E33D"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33</w:t>
            </w:r>
          </w:p>
        </w:tc>
        <w:tc>
          <w:tcPr>
            <w:tcW w:w="1260" w:type="dxa"/>
            <w:tcBorders>
              <w:left w:val="none" w:sz="0" w:space="0" w:color="auto"/>
              <w:bottom w:val="single" w:sz="8" w:space="0" w:color="7BA0CD" w:themeColor="accent1" w:themeTint="BF"/>
              <w:right w:val="none" w:sz="0" w:space="0" w:color="auto"/>
            </w:tcBorders>
            <w:vAlign w:val="center"/>
          </w:tcPr>
          <w:p w14:paraId="50199429" w14:textId="6693F65D"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1260" w:type="dxa"/>
            <w:tcBorders>
              <w:left w:val="none" w:sz="0" w:space="0" w:color="auto"/>
              <w:bottom w:val="single" w:sz="8" w:space="0" w:color="7BA0CD" w:themeColor="accent1" w:themeTint="BF"/>
              <w:right w:val="none" w:sz="0" w:space="0" w:color="auto"/>
            </w:tcBorders>
            <w:noWrap/>
            <w:vAlign w:val="center"/>
            <w:hideMark/>
          </w:tcPr>
          <w:p w14:paraId="0055C98E" w14:textId="42290CA3"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76220C32" w14:textId="340C23D4"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31 </w:t>
            </w:r>
          </w:p>
        </w:tc>
        <w:tc>
          <w:tcPr>
            <w:tcW w:w="900" w:type="dxa"/>
            <w:tcBorders>
              <w:left w:val="none" w:sz="0" w:space="0" w:color="auto"/>
              <w:bottom w:val="single" w:sz="8" w:space="0" w:color="7BA0CD" w:themeColor="accent1" w:themeTint="BF"/>
            </w:tcBorders>
            <w:noWrap/>
            <w:vAlign w:val="center"/>
            <w:hideMark/>
          </w:tcPr>
          <w:p w14:paraId="133AE28A" w14:textId="088657A2"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$19.25 </w:t>
            </w:r>
          </w:p>
        </w:tc>
      </w:tr>
      <w:tr w:rsidR="006C0F11" w:rsidRPr="003B7F14" w14:paraId="24520D73"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1A8663EF" w14:textId="4B1E577F" w:rsidR="006C0F11" w:rsidRPr="000904A1" w:rsidRDefault="006C0F11" w:rsidP="006C0F11">
            <w:pPr>
              <w:pStyle w:val="Tablenormalleft"/>
              <w:keepNext w:val="0"/>
              <w:widowControl w:val="0"/>
              <w:jc w:val="left"/>
              <w:rPr>
                <w:szCs w:val="18"/>
              </w:rPr>
            </w:pPr>
            <w:r w:rsidRPr="004A1CDB">
              <w:t>502.00</w:t>
            </w:r>
          </w:p>
        </w:tc>
        <w:tc>
          <w:tcPr>
            <w:tcW w:w="3510" w:type="dxa"/>
            <w:tcBorders>
              <w:left w:val="none" w:sz="0" w:space="0" w:color="auto"/>
              <w:bottom w:val="single" w:sz="8" w:space="0" w:color="7BA0CD" w:themeColor="accent1" w:themeTint="BF"/>
              <w:right w:val="none" w:sz="0" w:space="0" w:color="auto"/>
            </w:tcBorders>
            <w:noWrap/>
            <w:vAlign w:val="center"/>
            <w:hideMark/>
          </w:tcPr>
          <w:p w14:paraId="30B4808C" w14:textId="5439E542"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Accounting</w:t>
            </w:r>
            <w:r w:rsidR="00AA69F5">
              <w:t xml:space="preserve"> (CIP 52.0301)</w:t>
            </w:r>
          </w:p>
        </w:tc>
        <w:tc>
          <w:tcPr>
            <w:tcW w:w="1170" w:type="dxa"/>
            <w:tcBorders>
              <w:left w:val="none" w:sz="0" w:space="0" w:color="auto"/>
              <w:bottom w:val="single" w:sz="8" w:space="0" w:color="7BA0CD" w:themeColor="accent1" w:themeTint="BF"/>
              <w:right w:val="none" w:sz="0" w:space="0" w:color="auto"/>
            </w:tcBorders>
            <w:noWrap/>
            <w:vAlign w:val="center"/>
            <w:hideMark/>
          </w:tcPr>
          <w:p w14:paraId="17B44198" w14:textId="3DEF0277"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39</w:t>
            </w:r>
          </w:p>
        </w:tc>
        <w:tc>
          <w:tcPr>
            <w:tcW w:w="1260" w:type="dxa"/>
            <w:tcBorders>
              <w:left w:val="none" w:sz="0" w:space="0" w:color="auto"/>
              <w:bottom w:val="single" w:sz="8" w:space="0" w:color="7BA0CD" w:themeColor="accent1" w:themeTint="BF"/>
              <w:right w:val="none" w:sz="0" w:space="0" w:color="auto"/>
            </w:tcBorders>
            <w:vAlign w:val="center"/>
          </w:tcPr>
          <w:p w14:paraId="794529AD" w14:textId="12E210CA"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12</w:t>
            </w:r>
          </w:p>
        </w:tc>
        <w:tc>
          <w:tcPr>
            <w:tcW w:w="1260" w:type="dxa"/>
            <w:tcBorders>
              <w:left w:val="none" w:sz="0" w:space="0" w:color="auto"/>
              <w:bottom w:val="single" w:sz="8" w:space="0" w:color="7BA0CD" w:themeColor="accent1" w:themeTint="BF"/>
              <w:right w:val="none" w:sz="0" w:space="0" w:color="auto"/>
            </w:tcBorders>
            <w:noWrap/>
            <w:vAlign w:val="center"/>
            <w:hideMark/>
          </w:tcPr>
          <w:p w14:paraId="6D5CBA4C" w14:textId="03197AE9"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9</w:t>
            </w:r>
          </w:p>
        </w:tc>
        <w:tc>
          <w:tcPr>
            <w:tcW w:w="900" w:type="dxa"/>
            <w:tcBorders>
              <w:left w:val="none" w:sz="0" w:space="0" w:color="auto"/>
              <w:bottom w:val="single" w:sz="8" w:space="0" w:color="7BA0CD" w:themeColor="accent1" w:themeTint="BF"/>
              <w:right w:val="none" w:sz="0" w:space="0" w:color="auto"/>
            </w:tcBorders>
            <w:vAlign w:val="center"/>
          </w:tcPr>
          <w:p w14:paraId="1963D765" w14:textId="4F4C794D"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27 </w:t>
            </w:r>
          </w:p>
        </w:tc>
        <w:tc>
          <w:tcPr>
            <w:tcW w:w="900" w:type="dxa"/>
            <w:tcBorders>
              <w:left w:val="none" w:sz="0" w:space="0" w:color="auto"/>
              <w:bottom w:val="single" w:sz="8" w:space="0" w:color="7BA0CD" w:themeColor="accent1" w:themeTint="BF"/>
            </w:tcBorders>
            <w:noWrap/>
            <w:vAlign w:val="center"/>
            <w:hideMark/>
          </w:tcPr>
          <w:p w14:paraId="264AF2D1" w14:textId="1030F1B5"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$26.45 </w:t>
            </w:r>
          </w:p>
        </w:tc>
      </w:tr>
      <w:tr w:rsidR="006C0F11" w:rsidRPr="003B7F14" w14:paraId="32722DF4"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hideMark/>
          </w:tcPr>
          <w:p w14:paraId="013DAC9D" w14:textId="52FE505D" w:rsidR="006C0F11" w:rsidRPr="000904A1" w:rsidRDefault="006C0F11" w:rsidP="006C0F11">
            <w:pPr>
              <w:pStyle w:val="Tablenormalleft"/>
              <w:keepNext w:val="0"/>
              <w:widowControl w:val="0"/>
              <w:jc w:val="left"/>
              <w:rPr>
                <w:szCs w:val="18"/>
              </w:rPr>
            </w:pPr>
            <w:r w:rsidRPr="004A1CDB">
              <w:t>956.30</w:t>
            </w:r>
          </w:p>
        </w:tc>
        <w:tc>
          <w:tcPr>
            <w:tcW w:w="3510" w:type="dxa"/>
            <w:tcBorders>
              <w:left w:val="none" w:sz="0" w:space="0" w:color="auto"/>
              <w:bottom w:val="single" w:sz="8" w:space="0" w:color="7BA0CD" w:themeColor="accent1" w:themeTint="BF"/>
              <w:right w:val="none" w:sz="0" w:space="0" w:color="auto"/>
            </w:tcBorders>
            <w:noWrap/>
            <w:vAlign w:val="center"/>
            <w:hideMark/>
          </w:tcPr>
          <w:p w14:paraId="3613AC8C" w14:textId="5228CC62"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Machining and Machine Tools</w:t>
            </w:r>
          </w:p>
        </w:tc>
        <w:tc>
          <w:tcPr>
            <w:tcW w:w="1170" w:type="dxa"/>
            <w:tcBorders>
              <w:left w:val="none" w:sz="0" w:space="0" w:color="auto"/>
              <w:bottom w:val="single" w:sz="8" w:space="0" w:color="7BA0CD" w:themeColor="accent1" w:themeTint="BF"/>
              <w:right w:val="none" w:sz="0" w:space="0" w:color="auto"/>
            </w:tcBorders>
            <w:noWrap/>
            <w:vAlign w:val="center"/>
            <w:hideMark/>
          </w:tcPr>
          <w:p w14:paraId="2BCF4277" w14:textId="00AE8A37"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4</w:t>
            </w:r>
          </w:p>
        </w:tc>
        <w:tc>
          <w:tcPr>
            <w:tcW w:w="1260" w:type="dxa"/>
            <w:tcBorders>
              <w:left w:val="none" w:sz="0" w:space="0" w:color="auto"/>
              <w:bottom w:val="single" w:sz="8" w:space="0" w:color="7BA0CD" w:themeColor="accent1" w:themeTint="BF"/>
              <w:right w:val="none" w:sz="0" w:space="0" w:color="auto"/>
            </w:tcBorders>
            <w:vAlign w:val="center"/>
          </w:tcPr>
          <w:p w14:paraId="493598BC" w14:textId="68F35B19"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1260" w:type="dxa"/>
            <w:tcBorders>
              <w:left w:val="none" w:sz="0" w:space="0" w:color="auto"/>
              <w:bottom w:val="single" w:sz="8" w:space="0" w:color="7BA0CD" w:themeColor="accent1" w:themeTint="BF"/>
              <w:right w:val="none" w:sz="0" w:space="0" w:color="auto"/>
            </w:tcBorders>
            <w:noWrap/>
            <w:vAlign w:val="center"/>
            <w:hideMark/>
          </w:tcPr>
          <w:p w14:paraId="28314568" w14:textId="5E678AA0"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054069D9" w14:textId="7A251BF2"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3 </w:t>
            </w:r>
          </w:p>
        </w:tc>
        <w:tc>
          <w:tcPr>
            <w:tcW w:w="900" w:type="dxa"/>
            <w:tcBorders>
              <w:left w:val="none" w:sz="0" w:space="0" w:color="auto"/>
              <w:bottom w:val="single" w:sz="8" w:space="0" w:color="7BA0CD" w:themeColor="accent1" w:themeTint="BF"/>
            </w:tcBorders>
            <w:noWrap/>
            <w:vAlign w:val="center"/>
            <w:hideMark/>
          </w:tcPr>
          <w:p w14:paraId="13294CC0" w14:textId="39DE9D27"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$15.81 </w:t>
            </w:r>
          </w:p>
        </w:tc>
      </w:tr>
      <w:tr w:rsidR="006C0F11" w:rsidRPr="003B7F14" w14:paraId="389D472F"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6159B910" w14:textId="08644172" w:rsidR="006C0F11" w:rsidRPr="000904A1" w:rsidRDefault="006C0F11" w:rsidP="006C0F11">
            <w:pPr>
              <w:pStyle w:val="Tablenormalleft"/>
              <w:keepNext w:val="0"/>
              <w:widowControl w:val="0"/>
              <w:jc w:val="left"/>
              <w:rPr>
                <w:szCs w:val="18"/>
              </w:rPr>
            </w:pPr>
            <w:r w:rsidRPr="004A1CDB">
              <w:t>102.00</w:t>
            </w:r>
          </w:p>
        </w:tc>
        <w:tc>
          <w:tcPr>
            <w:tcW w:w="3510" w:type="dxa"/>
            <w:tcBorders>
              <w:left w:val="none" w:sz="0" w:space="0" w:color="auto"/>
              <w:bottom w:val="single" w:sz="8" w:space="0" w:color="7BA0CD" w:themeColor="accent1" w:themeTint="BF"/>
              <w:right w:val="none" w:sz="0" w:space="0" w:color="auto"/>
            </w:tcBorders>
            <w:noWrap/>
            <w:vAlign w:val="center"/>
          </w:tcPr>
          <w:p w14:paraId="4A1D8955" w14:textId="62D026EA"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Animal Science</w:t>
            </w:r>
          </w:p>
        </w:tc>
        <w:tc>
          <w:tcPr>
            <w:tcW w:w="1170" w:type="dxa"/>
            <w:tcBorders>
              <w:left w:val="none" w:sz="0" w:space="0" w:color="auto"/>
              <w:bottom w:val="single" w:sz="8" w:space="0" w:color="7BA0CD" w:themeColor="accent1" w:themeTint="BF"/>
              <w:right w:val="none" w:sz="0" w:space="0" w:color="auto"/>
            </w:tcBorders>
            <w:noWrap/>
            <w:vAlign w:val="center"/>
          </w:tcPr>
          <w:p w14:paraId="6A2A58A5" w14:textId="20137A26"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6</w:t>
            </w:r>
          </w:p>
        </w:tc>
        <w:tc>
          <w:tcPr>
            <w:tcW w:w="1260" w:type="dxa"/>
            <w:tcBorders>
              <w:left w:val="none" w:sz="0" w:space="0" w:color="auto"/>
              <w:bottom w:val="single" w:sz="8" w:space="0" w:color="7BA0CD" w:themeColor="accent1" w:themeTint="BF"/>
              <w:right w:val="none" w:sz="0" w:space="0" w:color="auto"/>
            </w:tcBorders>
            <w:vAlign w:val="center"/>
          </w:tcPr>
          <w:p w14:paraId="759798D1" w14:textId="43070C7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3</w:t>
            </w:r>
          </w:p>
        </w:tc>
        <w:tc>
          <w:tcPr>
            <w:tcW w:w="1260" w:type="dxa"/>
            <w:tcBorders>
              <w:left w:val="none" w:sz="0" w:space="0" w:color="auto"/>
              <w:bottom w:val="single" w:sz="8" w:space="0" w:color="7BA0CD" w:themeColor="accent1" w:themeTint="BF"/>
              <w:right w:val="none" w:sz="0" w:space="0" w:color="auto"/>
            </w:tcBorders>
            <w:noWrap/>
            <w:vAlign w:val="center"/>
          </w:tcPr>
          <w:p w14:paraId="53CE72D3" w14:textId="64D7203A"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3217EDE2" w14:textId="05B076A5"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3 </w:t>
            </w:r>
          </w:p>
        </w:tc>
        <w:tc>
          <w:tcPr>
            <w:tcW w:w="900" w:type="dxa"/>
            <w:tcBorders>
              <w:left w:val="none" w:sz="0" w:space="0" w:color="auto"/>
              <w:bottom w:val="single" w:sz="8" w:space="0" w:color="7BA0CD" w:themeColor="accent1" w:themeTint="BF"/>
            </w:tcBorders>
            <w:noWrap/>
            <w:vAlign w:val="center"/>
          </w:tcPr>
          <w:p w14:paraId="5B0DB9C9" w14:textId="4DDEC16E"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$18.97 </w:t>
            </w:r>
          </w:p>
        </w:tc>
      </w:tr>
      <w:tr w:rsidR="006C0F11" w:rsidRPr="003B7F14" w14:paraId="67B9A373"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04C0B6E3" w14:textId="7D69F636" w:rsidR="006C0F11" w:rsidRPr="000904A1" w:rsidRDefault="006C0F11" w:rsidP="006C0F11">
            <w:pPr>
              <w:pStyle w:val="Tablenormalleft"/>
              <w:keepNext w:val="0"/>
              <w:widowControl w:val="0"/>
              <w:jc w:val="left"/>
              <w:rPr>
                <w:szCs w:val="18"/>
              </w:rPr>
            </w:pPr>
            <w:r w:rsidRPr="004A1CDB">
              <w:t>708.00</w:t>
            </w:r>
          </w:p>
        </w:tc>
        <w:tc>
          <w:tcPr>
            <w:tcW w:w="3510" w:type="dxa"/>
            <w:tcBorders>
              <w:left w:val="none" w:sz="0" w:space="0" w:color="auto"/>
              <w:bottom w:val="single" w:sz="8" w:space="0" w:color="7BA0CD" w:themeColor="accent1" w:themeTint="BF"/>
              <w:right w:val="none" w:sz="0" w:space="0" w:color="auto"/>
            </w:tcBorders>
            <w:noWrap/>
            <w:vAlign w:val="center"/>
          </w:tcPr>
          <w:p w14:paraId="7034C9A6" w14:textId="364888ED"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Computer Infrastructure and Support</w:t>
            </w:r>
          </w:p>
        </w:tc>
        <w:tc>
          <w:tcPr>
            <w:tcW w:w="1170" w:type="dxa"/>
            <w:tcBorders>
              <w:left w:val="none" w:sz="0" w:space="0" w:color="auto"/>
              <w:bottom w:val="single" w:sz="8" w:space="0" w:color="7BA0CD" w:themeColor="accent1" w:themeTint="BF"/>
              <w:right w:val="none" w:sz="0" w:space="0" w:color="auto"/>
            </w:tcBorders>
            <w:noWrap/>
            <w:vAlign w:val="center"/>
          </w:tcPr>
          <w:p w14:paraId="3428E56F" w14:textId="69F03052"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w:t>
            </w:r>
          </w:p>
        </w:tc>
        <w:tc>
          <w:tcPr>
            <w:tcW w:w="1260" w:type="dxa"/>
            <w:tcBorders>
              <w:left w:val="none" w:sz="0" w:space="0" w:color="auto"/>
              <w:bottom w:val="single" w:sz="8" w:space="0" w:color="7BA0CD" w:themeColor="accent1" w:themeTint="BF"/>
              <w:right w:val="none" w:sz="0" w:space="0" w:color="auto"/>
            </w:tcBorders>
            <w:vAlign w:val="center"/>
          </w:tcPr>
          <w:p w14:paraId="1FF69E08" w14:textId="00D749A5"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1260" w:type="dxa"/>
            <w:tcBorders>
              <w:left w:val="none" w:sz="0" w:space="0" w:color="auto"/>
              <w:bottom w:val="single" w:sz="8" w:space="0" w:color="7BA0CD" w:themeColor="accent1" w:themeTint="BF"/>
              <w:right w:val="none" w:sz="0" w:space="0" w:color="auto"/>
            </w:tcBorders>
            <w:noWrap/>
            <w:vAlign w:val="center"/>
          </w:tcPr>
          <w:p w14:paraId="5319500D" w14:textId="17607E15"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0D20F6F1" w14:textId="6356060A"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2 </w:t>
            </w:r>
          </w:p>
        </w:tc>
        <w:tc>
          <w:tcPr>
            <w:tcW w:w="900" w:type="dxa"/>
            <w:tcBorders>
              <w:left w:val="none" w:sz="0" w:space="0" w:color="auto"/>
              <w:bottom w:val="single" w:sz="8" w:space="0" w:color="7BA0CD" w:themeColor="accent1" w:themeTint="BF"/>
            </w:tcBorders>
            <w:noWrap/>
            <w:vAlign w:val="center"/>
          </w:tcPr>
          <w:p w14:paraId="44AE2476" w14:textId="0F04D648"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$26.73 </w:t>
            </w:r>
          </w:p>
        </w:tc>
      </w:tr>
      <w:tr w:rsidR="006C0F11" w:rsidRPr="003B7F14" w14:paraId="3C94D410"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57C051C9" w14:textId="4D091DDA" w:rsidR="006C0F11" w:rsidRPr="000904A1" w:rsidRDefault="006C0F11" w:rsidP="006C0F11">
            <w:pPr>
              <w:pStyle w:val="Tablenormalleft"/>
              <w:keepNext w:val="0"/>
              <w:widowControl w:val="0"/>
              <w:jc w:val="left"/>
              <w:rPr>
                <w:szCs w:val="18"/>
              </w:rPr>
            </w:pPr>
            <w:r w:rsidRPr="004A1CDB">
              <w:t>103.00</w:t>
            </w:r>
          </w:p>
        </w:tc>
        <w:tc>
          <w:tcPr>
            <w:tcW w:w="3510" w:type="dxa"/>
            <w:tcBorders>
              <w:left w:val="none" w:sz="0" w:space="0" w:color="auto"/>
              <w:bottom w:val="single" w:sz="8" w:space="0" w:color="7BA0CD" w:themeColor="accent1" w:themeTint="BF"/>
              <w:right w:val="none" w:sz="0" w:space="0" w:color="auto"/>
            </w:tcBorders>
            <w:noWrap/>
            <w:vAlign w:val="center"/>
          </w:tcPr>
          <w:p w14:paraId="080E7227" w14:textId="49C32C4B"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Plant Science</w:t>
            </w:r>
            <w:r w:rsidR="00AA69F5">
              <w:t xml:space="preserve"> (CIP 1.0304)</w:t>
            </w:r>
          </w:p>
        </w:tc>
        <w:tc>
          <w:tcPr>
            <w:tcW w:w="1170" w:type="dxa"/>
            <w:tcBorders>
              <w:left w:val="none" w:sz="0" w:space="0" w:color="auto"/>
              <w:bottom w:val="single" w:sz="8" w:space="0" w:color="7BA0CD" w:themeColor="accent1" w:themeTint="BF"/>
              <w:right w:val="none" w:sz="0" w:space="0" w:color="auto"/>
            </w:tcBorders>
            <w:noWrap/>
            <w:vAlign w:val="center"/>
          </w:tcPr>
          <w:p w14:paraId="2D3DE563" w14:textId="78BD2839"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4</w:t>
            </w:r>
          </w:p>
        </w:tc>
        <w:tc>
          <w:tcPr>
            <w:tcW w:w="1260" w:type="dxa"/>
            <w:tcBorders>
              <w:left w:val="none" w:sz="0" w:space="0" w:color="auto"/>
              <w:bottom w:val="single" w:sz="8" w:space="0" w:color="7BA0CD" w:themeColor="accent1" w:themeTint="BF"/>
              <w:right w:val="none" w:sz="0" w:space="0" w:color="auto"/>
            </w:tcBorders>
            <w:vAlign w:val="center"/>
          </w:tcPr>
          <w:p w14:paraId="3A95C8AD" w14:textId="6F7FC6E8"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2</w:t>
            </w:r>
          </w:p>
        </w:tc>
        <w:tc>
          <w:tcPr>
            <w:tcW w:w="1260" w:type="dxa"/>
            <w:tcBorders>
              <w:left w:val="none" w:sz="0" w:space="0" w:color="auto"/>
              <w:bottom w:val="single" w:sz="8" w:space="0" w:color="7BA0CD" w:themeColor="accent1" w:themeTint="BF"/>
              <w:right w:val="none" w:sz="0" w:space="0" w:color="auto"/>
            </w:tcBorders>
            <w:noWrap/>
            <w:vAlign w:val="center"/>
          </w:tcPr>
          <w:p w14:paraId="1F407A27" w14:textId="2AC4CB3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900" w:type="dxa"/>
            <w:tcBorders>
              <w:left w:val="none" w:sz="0" w:space="0" w:color="auto"/>
              <w:bottom w:val="single" w:sz="8" w:space="0" w:color="7BA0CD" w:themeColor="accent1" w:themeTint="BF"/>
              <w:right w:val="none" w:sz="0" w:space="0" w:color="auto"/>
            </w:tcBorders>
            <w:vAlign w:val="center"/>
          </w:tcPr>
          <w:p w14:paraId="079AF3D4" w14:textId="7DAF5E74"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1 </w:t>
            </w:r>
          </w:p>
        </w:tc>
        <w:tc>
          <w:tcPr>
            <w:tcW w:w="900" w:type="dxa"/>
            <w:tcBorders>
              <w:left w:val="none" w:sz="0" w:space="0" w:color="auto"/>
              <w:bottom w:val="single" w:sz="8" w:space="0" w:color="7BA0CD" w:themeColor="accent1" w:themeTint="BF"/>
            </w:tcBorders>
            <w:noWrap/>
            <w:vAlign w:val="center"/>
          </w:tcPr>
          <w:p w14:paraId="5E88AE55" w14:textId="3D9EADF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$18.96 </w:t>
            </w:r>
          </w:p>
        </w:tc>
      </w:tr>
      <w:tr w:rsidR="006C0F11" w:rsidRPr="003B7F14" w14:paraId="5BE2BC54"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349833D8" w14:textId="16115F01" w:rsidR="006C0F11" w:rsidRPr="000904A1" w:rsidRDefault="006C0F11" w:rsidP="006C0F11">
            <w:pPr>
              <w:pStyle w:val="Tablenormalleft"/>
              <w:keepNext w:val="0"/>
              <w:widowControl w:val="0"/>
              <w:jc w:val="left"/>
              <w:rPr>
                <w:szCs w:val="18"/>
              </w:rPr>
            </w:pPr>
            <w:r w:rsidRPr="004A1CDB">
              <w:t>948.00</w:t>
            </w:r>
          </w:p>
        </w:tc>
        <w:tc>
          <w:tcPr>
            <w:tcW w:w="3510" w:type="dxa"/>
            <w:tcBorders>
              <w:left w:val="none" w:sz="0" w:space="0" w:color="auto"/>
              <w:bottom w:val="single" w:sz="8" w:space="0" w:color="7BA0CD" w:themeColor="accent1" w:themeTint="BF"/>
              <w:right w:val="none" w:sz="0" w:space="0" w:color="auto"/>
            </w:tcBorders>
            <w:noWrap/>
            <w:vAlign w:val="center"/>
          </w:tcPr>
          <w:p w14:paraId="4E09AAA1" w14:textId="6A404BBF"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Automotive Technology</w:t>
            </w:r>
            <w:r w:rsidR="00AA69F5">
              <w:t xml:space="preserve"> (CIP 47.0699)</w:t>
            </w:r>
          </w:p>
        </w:tc>
        <w:tc>
          <w:tcPr>
            <w:tcW w:w="1170" w:type="dxa"/>
            <w:tcBorders>
              <w:left w:val="none" w:sz="0" w:space="0" w:color="auto"/>
              <w:bottom w:val="single" w:sz="8" w:space="0" w:color="7BA0CD" w:themeColor="accent1" w:themeTint="BF"/>
              <w:right w:val="none" w:sz="0" w:space="0" w:color="auto"/>
            </w:tcBorders>
            <w:noWrap/>
            <w:vAlign w:val="center"/>
          </w:tcPr>
          <w:p w14:paraId="63E3AF10" w14:textId="155B9C58"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w:t>
            </w:r>
          </w:p>
        </w:tc>
        <w:tc>
          <w:tcPr>
            <w:tcW w:w="1260" w:type="dxa"/>
            <w:tcBorders>
              <w:left w:val="none" w:sz="0" w:space="0" w:color="auto"/>
              <w:bottom w:val="single" w:sz="8" w:space="0" w:color="7BA0CD" w:themeColor="accent1" w:themeTint="BF"/>
              <w:right w:val="none" w:sz="0" w:space="0" w:color="auto"/>
            </w:tcBorders>
            <w:vAlign w:val="center"/>
          </w:tcPr>
          <w:p w14:paraId="30BFEB14" w14:textId="18C65DC4"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w:t>
            </w:r>
          </w:p>
        </w:tc>
        <w:tc>
          <w:tcPr>
            <w:tcW w:w="1260" w:type="dxa"/>
            <w:tcBorders>
              <w:left w:val="none" w:sz="0" w:space="0" w:color="auto"/>
              <w:bottom w:val="single" w:sz="8" w:space="0" w:color="7BA0CD" w:themeColor="accent1" w:themeTint="BF"/>
              <w:right w:val="none" w:sz="0" w:space="0" w:color="auto"/>
            </w:tcBorders>
            <w:noWrap/>
            <w:vAlign w:val="center"/>
          </w:tcPr>
          <w:p w14:paraId="4DAA382E" w14:textId="042F951B"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w:t>
            </w:r>
          </w:p>
        </w:tc>
        <w:tc>
          <w:tcPr>
            <w:tcW w:w="900" w:type="dxa"/>
            <w:tcBorders>
              <w:left w:val="none" w:sz="0" w:space="0" w:color="auto"/>
              <w:bottom w:val="single" w:sz="8" w:space="0" w:color="7BA0CD" w:themeColor="accent1" w:themeTint="BF"/>
              <w:right w:val="none" w:sz="0" w:space="0" w:color="auto"/>
            </w:tcBorders>
            <w:vAlign w:val="center"/>
          </w:tcPr>
          <w:p w14:paraId="163A155B" w14:textId="04510643"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0 </w:t>
            </w:r>
          </w:p>
        </w:tc>
        <w:tc>
          <w:tcPr>
            <w:tcW w:w="900" w:type="dxa"/>
            <w:tcBorders>
              <w:left w:val="none" w:sz="0" w:space="0" w:color="auto"/>
              <w:bottom w:val="single" w:sz="8" w:space="0" w:color="7BA0CD" w:themeColor="accent1" w:themeTint="BF"/>
            </w:tcBorders>
            <w:noWrap/>
            <w:vAlign w:val="center"/>
          </w:tcPr>
          <w:p w14:paraId="4D51F2F7" w14:textId="004C50D4"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$15.58 </w:t>
            </w:r>
          </w:p>
        </w:tc>
      </w:tr>
      <w:tr w:rsidR="006C0F11" w:rsidRPr="003B7F14" w14:paraId="5960D192"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245FD11D" w14:textId="61021CB0" w:rsidR="006C0F11" w:rsidRPr="000904A1" w:rsidRDefault="006C0F11" w:rsidP="006C0F11">
            <w:pPr>
              <w:pStyle w:val="Tablenormalleft"/>
              <w:keepNext w:val="0"/>
              <w:widowControl w:val="0"/>
              <w:jc w:val="left"/>
              <w:rPr>
                <w:szCs w:val="18"/>
              </w:rPr>
            </w:pPr>
            <w:r w:rsidRPr="004A1CDB">
              <w:t>1004.00</w:t>
            </w:r>
          </w:p>
        </w:tc>
        <w:tc>
          <w:tcPr>
            <w:tcW w:w="3510" w:type="dxa"/>
            <w:tcBorders>
              <w:left w:val="none" w:sz="0" w:space="0" w:color="auto"/>
              <w:bottom w:val="single" w:sz="8" w:space="0" w:color="7BA0CD" w:themeColor="accent1" w:themeTint="BF"/>
              <w:right w:val="none" w:sz="0" w:space="0" w:color="auto"/>
            </w:tcBorders>
            <w:noWrap/>
            <w:vAlign w:val="center"/>
          </w:tcPr>
          <w:p w14:paraId="0AE5FCE9" w14:textId="6D3A05A1"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Music</w:t>
            </w:r>
          </w:p>
        </w:tc>
        <w:tc>
          <w:tcPr>
            <w:tcW w:w="1170" w:type="dxa"/>
            <w:tcBorders>
              <w:left w:val="none" w:sz="0" w:space="0" w:color="auto"/>
              <w:bottom w:val="single" w:sz="8" w:space="0" w:color="7BA0CD" w:themeColor="accent1" w:themeTint="BF"/>
              <w:right w:val="none" w:sz="0" w:space="0" w:color="auto"/>
            </w:tcBorders>
            <w:noWrap/>
            <w:vAlign w:val="center"/>
          </w:tcPr>
          <w:p w14:paraId="3424330A" w14:textId="55F2A861"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6BC6C98B" w14:textId="7EDD8CF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noWrap/>
            <w:vAlign w:val="center"/>
          </w:tcPr>
          <w:p w14:paraId="442EBB34" w14:textId="61A1EC47"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900" w:type="dxa"/>
            <w:tcBorders>
              <w:left w:val="none" w:sz="0" w:space="0" w:color="auto"/>
              <w:bottom w:val="single" w:sz="8" w:space="0" w:color="7BA0CD" w:themeColor="accent1" w:themeTint="BF"/>
              <w:right w:val="none" w:sz="0" w:space="0" w:color="auto"/>
            </w:tcBorders>
            <w:vAlign w:val="center"/>
          </w:tcPr>
          <w:p w14:paraId="4FD08E56" w14:textId="3B93343C"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900" w:type="dxa"/>
            <w:tcBorders>
              <w:left w:val="none" w:sz="0" w:space="0" w:color="auto"/>
              <w:bottom w:val="single" w:sz="8" w:space="0" w:color="7BA0CD" w:themeColor="accent1" w:themeTint="BF"/>
            </w:tcBorders>
            <w:noWrap/>
            <w:vAlign w:val="center"/>
          </w:tcPr>
          <w:p w14:paraId="0EF147EC" w14:textId="6C83B596"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$15.64 </w:t>
            </w:r>
          </w:p>
        </w:tc>
      </w:tr>
      <w:tr w:rsidR="006C0F11" w:rsidRPr="003B7F14" w14:paraId="3B679E00"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7254A7A7" w14:textId="690ECB22" w:rsidR="006C0F11" w:rsidRPr="000904A1" w:rsidRDefault="006C0F11" w:rsidP="006C0F11">
            <w:pPr>
              <w:pStyle w:val="Tablenormalleft"/>
              <w:keepNext w:val="0"/>
              <w:widowControl w:val="0"/>
              <w:jc w:val="left"/>
              <w:rPr>
                <w:szCs w:val="18"/>
              </w:rPr>
            </w:pPr>
            <w:r w:rsidRPr="004A1CDB">
              <w:t>956.00</w:t>
            </w:r>
          </w:p>
        </w:tc>
        <w:tc>
          <w:tcPr>
            <w:tcW w:w="3510" w:type="dxa"/>
            <w:tcBorders>
              <w:left w:val="none" w:sz="0" w:space="0" w:color="auto"/>
              <w:bottom w:val="single" w:sz="8" w:space="0" w:color="7BA0CD" w:themeColor="accent1" w:themeTint="BF"/>
              <w:right w:val="none" w:sz="0" w:space="0" w:color="auto"/>
            </w:tcBorders>
            <w:noWrap/>
            <w:vAlign w:val="center"/>
          </w:tcPr>
          <w:p w14:paraId="34B094CD" w14:textId="4AA087B5"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Manufacturing and Industrial Technology</w:t>
            </w:r>
          </w:p>
        </w:tc>
        <w:tc>
          <w:tcPr>
            <w:tcW w:w="1170" w:type="dxa"/>
            <w:tcBorders>
              <w:left w:val="none" w:sz="0" w:space="0" w:color="auto"/>
              <w:bottom w:val="single" w:sz="8" w:space="0" w:color="7BA0CD" w:themeColor="accent1" w:themeTint="BF"/>
              <w:right w:val="none" w:sz="0" w:space="0" w:color="auto"/>
            </w:tcBorders>
            <w:noWrap/>
            <w:vAlign w:val="center"/>
          </w:tcPr>
          <w:p w14:paraId="75493BEF" w14:textId="36000F89"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2</w:t>
            </w:r>
          </w:p>
        </w:tc>
        <w:tc>
          <w:tcPr>
            <w:tcW w:w="1260" w:type="dxa"/>
            <w:tcBorders>
              <w:left w:val="none" w:sz="0" w:space="0" w:color="auto"/>
              <w:bottom w:val="single" w:sz="8" w:space="0" w:color="7BA0CD" w:themeColor="accent1" w:themeTint="BF"/>
              <w:right w:val="none" w:sz="0" w:space="0" w:color="auto"/>
            </w:tcBorders>
            <w:vAlign w:val="center"/>
          </w:tcPr>
          <w:p w14:paraId="158D3A43" w14:textId="0BB822A2"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2</w:t>
            </w:r>
          </w:p>
        </w:tc>
        <w:tc>
          <w:tcPr>
            <w:tcW w:w="1260" w:type="dxa"/>
            <w:tcBorders>
              <w:left w:val="none" w:sz="0" w:space="0" w:color="auto"/>
              <w:bottom w:val="single" w:sz="8" w:space="0" w:color="7BA0CD" w:themeColor="accent1" w:themeTint="BF"/>
              <w:right w:val="none" w:sz="0" w:space="0" w:color="auto"/>
            </w:tcBorders>
            <w:noWrap/>
            <w:vAlign w:val="center"/>
          </w:tcPr>
          <w:p w14:paraId="6600C82C" w14:textId="786D7F62"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470C23CA" w14:textId="32388551"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(0)</w:t>
            </w:r>
          </w:p>
        </w:tc>
        <w:tc>
          <w:tcPr>
            <w:tcW w:w="900" w:type="dxa"/>
            <w:tcBorders>
              <w:left w:val="none" w:sz="0" w:space="0" w:color="auto"/>
              <w:bottom w:val="single" w:sz="8" w:space="0" w:color="7BA0CD" w:themeColor="accent1" w:themeTint="BF"/>
            </w:tcBorders>
            <w:noWrap/>
            <w:vAlign w:val="center"/>
          </w:tcPr>
          <w:p w14:paraId="37C5D420" w14:textId="09AC9683"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$33.90 </w:t>
            </w:r>
          </w:p>
        </w:tc>
      </w:tr>
      <w:tr w:rsidR="006C0F11" w:rsidRPr="003B7F14" w14:paraId="7358D316"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11253FB1" w14:textId="7CBE7FE5" w:rsidR="006C0F11" w:rsidRPr="000904A1" w:rsidRDefault="006C0F11" w:rsidP="006C0F11">
            <w:pPr>
              <w:pStyle w:val="Tablenormalleft"/>
              <w:keepNext w:val="0"/>
              <w:widowControl w:val="0"/>
              <w:jc w:val="left"/>
              <w:rPr>
                <w:szCs w:val="18"/>
              </w:rPr>
            </w:pPr>
            <w:r w:rsidRPr="004A1CDB">
              <w:t>1199.00</w:t>
            </w:r>
          </w:p>
        </w:tc>
        <w:tc>
          <w:tcPr>
            <w:tcW w:w="3510" w:type="dxa"/>
            <w:tcBorders>
              <w:left w:val="none" w:sz="0" w:space="0" w:color="auto"/>
              <w:bottom w:val="single" w:sz="8" w:space="0" w:color="7BA0CD" w:themeColor="accent1" w:themeTint="BF"/>
              <w:right w:val="none" w:sz="0" w:space="0" w:color="auto"/>
            </w:tcBorders>
            <w:noWrap/>
            <w:vAlign w:val="center"/>
          </w:tcPr>
          <w:p w14:paraId="5D092D09" w14:textId="3C17AF9B"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Other Foreign Languages</w:t>
            </w:r>
          </w:p>
        </w:tc>
        <w:tc>
          <w:tcPr>
            <w:tcW w:w="1170" w:type="dxa"/>
            <w:tcBorders>
              <w:left w:val="none" w:sz="0" w:space="0" w:color="auto"/>
              <w:bottom w:val="single" w:sz="8" w:space="0" w:color="7BA0CD" w:themeColor="accent1" w:themeTint="BF"/>
              <w:right w:val="none" w:sz="0" w:space="0" w:color="auto"/>
            </w:tcBorders>
            <w:noWrap/>
            <w:vAlign w:val="center"/>
          </w:tcPr>
          <w:p w14:paraId="441193E7" w14:textId="2FC5E3AF"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7163D264" w14:textId="3D3674C2"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w:t>
            </w:r>
          </w:p>
        </w:tc>
        <w:tc>
          <w:tcPr>
            <w:tcW w:w="1260" w:type="dxa"/>
            <w:tcBorders>
              <w:left w:val="none" w:sz="0" w:space="0" w:color="auto"/>
              <w:bottom w:val="single" w:sz="8" w:space="0" w:color="7BA0CD" w:themeColor="accent1" w:themeTint="BF"/>
              <w:right w:val="none" w:sz="0" w:space="0" w:color="auto"/>
            </w:tcBorders>
            <w:noWrap/>
            <w:vAlign w:val="center"/>
          </w:tcPr>
          <w:p w14:paraId="1D8B3F7D" w14:textId="00A431E8"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900" w:type="dxa"/>
            <w:tcBorders>
              <w:left w:val="none" w:sz="0" w:space="0" w:color="auto"/>
              <w:bottom w:val="single" w:sz="8" w:space="0" w:color="7BA0CD" w:themeColor="accent1" w:themeTint="BF"/>
              <w:right w:val="none" w:sz="0" w:space="0" w:color="auto"/>
            </w:tcBorders>
            <w:vAlign w:val="center"/>
          </w:tcPr>
          <w:p w14:paraId="020F6D50" w14:textId="4D01B0F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tcBorders>
            <w:noWrap/>
            <w:vAlign w:val="center"/>
          </w:tcPr>
          <w:p w14:paraId="24E153CE" w14:textId="7ECEC8A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$17.29 </w:t>
            </w:r>
          </w:p>
        </w:tc>
      </w:tr>
      <w:tr w:rsidR="006C0F11" w:rsidRPr="003B7F14" w14:paraId="2DB8B9BD"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31A6EE40" w14:textId="55AD2F33" w:rsidR="006C0F11" w:rsidRPr="000904A1" w:rsidRDefault="006C0F11" w:rsidP="006C0F11">
            <w:pPr>
              <w:pStyle w:val="Tablenormalleft"/>
              <w:keepNext w:val="0"/>
              <w:widowControl w:val="0"/>
              <w:jc w:val="left"/>
              <w:rPr>
                <w:szCs w:val="18"/>
              </w:rPr>
            </w:pPr>
            <w:r w:rsidRPr="004A1CDB">
              <w:t>103.00</w:t>
            </w:r>
          </w:p>
        </w:tc>
        <w:tc>
          <w:tcPr>
            <w:tcW w:w="3510" w:type="dxa"/>
            <w:tcBorders>
              <w:left w:val="none" w:sz="0" w:space="0" w:color="auto"/>
              <w:bottom w:val="single" w:sz="8" w:space="0" w:color="7BA0CD" w:themeColor="accent1" w:themeTint="BF"/>
              <w:right w:val="none" w:sz="0" w:space="0" w:color="auto"/>
            </w:tcBorders>
            <w:noWrap/>
            <w:vAlign w:val="center"/>
          </w:tcPr>
          <w:p w14:paraId="6C0EDF72" w14:textId="13DCB65A"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Plant Science</w:t>
            </w:r>
            <w:r w:rsidR="00AA69F5">
              <w:t xml:space="preserve"> (CIP 1.1299)</w:t>
            </w:r>
          </w:p>
        </w:tc>
        <w:tc>
          <w:tcPr>
            <w:tcW w:w="1170" w:type="dxa"/>
            <w:tcBorders>
              <w:left w:val="none" w:sz="0" w:space="0" w:color="auto"/>
              <w:bottom w:val="single" w:sz="8" w:space="0" w:color="7BA0CD" w:themeColor="accent1" w:themeTint="BF"/>
              <w:right w:val="none" w:sz="0" w:space="0" w:color="auto"/>
            </w:tcBorders>
            <w:noWrap/>
            <w:vAlign w:val="center"/>
          </w:tcPr>
          <w:p w14:paraId="119EFC39" w14:textId="24DED598"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1B3EC816" w14:textId="20C0FAC6"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1260" w:type="dxa"/>
            <w:tcBorders>
              <w:left w:val="none" w:sz="0" w:space="0" w:color="auto"/>
              <w:bottom w:val="single" w:sz="8" w:space="0" w:color="7BA0CD" w:themeColor="accent1" w:themeTint="BF"/>
              <w:right w:val="none" w:sz="0" w:space="0" w:color="auto"/>
            </w:tcBorders>
            <w:noWrap/>
            <w:vAlign w:val="center"/>
          </w:tcPr>
          <w:p w14:paraId="528EC25E" w14:textId="799D155B"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49C369D6" w14:textId="064E4137"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tcBorders>
            <w:noWrap/>
            <w:vAlign w:val="center"/>
          </w:tcPr>
          <w:p w14:paraId="68C020D7" w14:textId="47833DF1"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$31.21 </w:t>
            </w:r>
          </w:p>
        </w:tc>
      </w:tr>
      <w:tr w:rsidR="006C0F11" w:rsidRPr="003B7F14" w14:paraId="16363899"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22BA5523" w14:textId="2E5DAFC7" w:rsidR="006C0F11" w:rsidRPr="000904A1" w:rsidRDefault="006C0F11" w:rsidP="006C0F11">
            <w:pPr>
              <w:pStyle w:val="Tablenormalleft"/>
              <w:keepNext w:val="0"/>
              <w:widowControl w:val="0"/>
              <w:jc w:val="left"/>
              <w:rPr>
                <w:szCs w:val="18"/>
              </w:rPr>
            </w:pPr>
            <w:r w:rsidRPr="004A1CDB">
              <w:t>506.40</w:t>
            </w:r>
          </w:p>
        </w:tc>
        <w:tc>
          <w:tcPr>
            <w:tcW w:w="3510" w:type="dxa"/>
            <w:tcBorders>
              <w:left w:val="none" w:sz="0" w:space="0" w:color="auto"/>
              <w:bottom w:val="single" w:sz="8" w:space="0" w:color="7BA0CD" w:themeColor="accent1" w:themeTint="BF"/>
              <w:right w:val="none" w:sz="0" w:space="0" w:color="auto"/>
            </w:tcBorders>
            <w:noWrap/>
            <w:vAlign w:val="center"/>
          </w:tcPr>
          <w:p w14:paraId="6160F282" w14:textId="65F174A4" w:rsidR="006C0F11" w:rsidRPr="000904A1" w:rsidRDefault="006C0F11" w:rsidP="009715AA">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 xml:space="preserve">Small Business and </w:t>
            </w:r>
            <w:r w:rsidR="009715AA">
              <w:t>E</w:t>
            </w:r>
            <w:r w:rsidRPr="00615EFA">
              <w:t>ntrepreneurship</w:t>
            </w:r>
          </w:p>
        </w:tc>
        <w:tc>
          <w:tcPr>
            <w:tcW w:w="1170" w:type="dxa"/>
            <w:tcBorders>
              <w:left w:val="none" w:sz="0" w:space="0" w:color="auto"/>
              <w:bottom w:val="single" w:sz="8" w:space="0" w:color="7BA0CD" w:themeColor="accent1" w:themeTint="BF"/>
              <w:right w:val="none" w:sz="0" w:space="0" w:color="auto"/>
            </w:tcBorders>
            <w:noWrap/>
            <w:vAlign w:val="center"/>
          </w:tcPr>
          <w:p w14:paraId="5F445A6A" w14:textId="4CBAAF7A"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5C4D71A4" w14:textId="39CF999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2</w:t>
            </w:r>
          </w:p>
        </w:tc>
        <w:tc>
          <w:tcPr>
            <w:tcW w:w="1260" w:type="dxa"/>
            <w:tcBorders>
              <w:left w:val="none" w:sz="0" w:space="0" w:color="auto"/>
              <w:bottom w:val="single" w:sz="8" w:space="0" w:color="7BA0CD" w:themeColor="accent1" w:themeTint="BF"/>
              <w:right w:val="none" w:sz="0" w:space="0" w:color="auto"/>
            </w:tcBorders>
            <w:noWrap/>
            <w:vAlign w:val="center"/>
          </w:tcPr>
          <w:p w14:paraId="220D9851" w14:textId="623E7C71"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2</w:t>
            </w:r>
          </w:p>
        </w:tc>
        <w:tc>
          <w:tcPr>
            <w:tcW w:w="900" w:type="dxa"/>
            <w:tcBorders>
              <w:left w:val="none" w:sz="0" w:space="0" w:color="auto"/>
              <w:bottom w:val="single" w:sz="8" w:space="0" w:color="7BA0CD" w:themeColor="accent1" w:themeTint="BF"/>
              <w:right w:val="none" w:sz="0" w:space="0" w:color="auto"/>
            </w:tcBorders>
            <w:vAlign w:val="center"/>
          </w:tcPr>
          <w:p w14:paraId="7E9918F0" w14:textId="2B3A6A42"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(2)</w:t>
            </w:r>
          </w:p>
        </w:tc>
        <w:tc>
          <w:tcPr>
            <w:tcW w:w="900" w:type="dxa"/>
            <w:tcBorders>
              <w:left w:val="none" w:sz="0" w:space="0" w:color="auto"/>
              <w:bottom w:val="single" w:sz="8" w:space="0" w:color="7BA0CD" w:themeColor="accent1" w:themeTint="BF"/>
            </w:tcBorders>
            <w:noWrap/>
            <w:vAlign w:val="center"/>
          </w:tcPr>
          <w:p w14:paraId="525EB442" w14:textId="76CD66ED"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$29.33 </w:t>
            </w:r>
          </w:p>
        </w:tc>
      </w:tr>
      <w:tr w:rsidR="006C0F11" w:rsidRPr="003B7F14" w14:paraId="4BDA5A88"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3925F949" w14:textId="70B69A36" w:rsidR="006C0F11" w:rsidRPr="000904A1" w:rsidRDefault="006C0F11" w:rsidP="006C0F11">
            <w:pPr>
              <w:pStyle w:val="Tablenormalleft"/>
              <w:keepNext w:val="0"/>
              <w:widowControl w:val="0"/>
              <w:jc w:val="left"/>
              <w:rPr>
                <w:szCs w:val="18"/>
              </w:rPr>
            </w:pPr>
            <w:r w:rsidRPr="004A1CDB">
              <w:t>1002.20</w:t>
            </w:r>
          </w:p>
        </w:tc>
        <w:tc>
          <w:tcPr>
            <w:tcW w:w="3510" w:type="dxa"/>
            <w:tcBorders>
              <w:left w:val="none" w:sz="0" w:space="0" w:color="auto"/>
              <w:bottom w:val="single" w:sz="8" w:space="0" w:color="7BA0CD" w:themeColor="accent1" w:themeTint="BF"/>
              <w:right w:val="none" w:sz="0" w:space="0" w:color="auto"/>
            </w:tcBorders>
            <w:noWrap/>
            <w:vAlign w:val="center"/>
          </w:tcPr>
          <w:p w14:paraId="00D925BD" w14:textId="391D96B1"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Sculpture</w:t>
            </w:r>
          </w:p>
        </w:tc>
        <w:tc>
          <w:tcPr>
            <w:tcW w:w="1170" w:type="dxa"/>
            <w:tcBorders>
              <w:left w:val="none" w:sz="0" w:space="0" w:color="auto"/>
              <w:bottom w:val="single" w:sz="8" w:space="0" w:color="7BA0CD" w:themeColor="accent1" w:themeTint="BF"/>
              <w:right w:val="none" w:sz="0" w:space="0" w:color="auto"/>
            </w:tcBorders>
            <w:noWrap/>
            <w:vAlign w:val="center"/>
          </w:tcPr>
          <w:p w14:paraId="25896A53" w14:textId="33FD7011"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23C0C181" w14:textId="351A98C6"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w:t>
            </w:r>
          </w:p>
        </w:tc>
        <w:tc>
          <w:tcPr>
            <w:tcW w:w="1260" w:type="dxa"/>
            <w:tcBorders>
              <w:left w:val="none" w:sz="0" w:space="0" w:color="auto"/>
              <w:bottom w:val="single" w:sz="8" w:space="0" w:color="7BA0CD" w:themeColor="accent1" w:themeTint="BF"/>
              <w:right w:val="none" w:sz="0" w:space="0" w:color="auto"/>
            </w:tcBorders>
            <w:noWrap/>
            <w:vAlign w:val="center"/>
          </w:tcPr>
          <w:p w14:paraId="34CC3E8E" w14:textId="055FE126"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1A8890C3" w14:textId="0AAAA708"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w:t>
            </w:r>
          </w:p>
        </w:tc>
        <w:tc>
          <w:tcPr>
            <w:tcW w:w="900" w:type="dxa"/>
            <w:tcBorders>
              <w:left w:val="none" w:sz="0" w:space="0" w:color="auto"/>
              <w:bottom w:val="single" w:sz="8" w:space="0" w:color="7BA0CD" w:themeColor="accent1" w:themeTint="BF"/>
            </w:tcBorders>
            <w:noWrap/>
            <w:vAlign w:val="center"/>
          </w:tcPr>
          <w:p w14:paraId="04264965" w14:textId="77297C09"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$8.12 </w:t>
            </w:r>
          </w:p>
        </w:tc>
      </w:tr>
      <w:tr w:rsidR="006C0F11" w:rsidRPr="003B7F14" w14:paraId="34B22144"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12CFE365" w14:textId="480012A8" w:rsidR="006C0F11" w:rsidRPr="000904A1" w:rsidRDefault="006C0F11" w:rsidP="006C0F11">
            <w:pPr>
              <w:pStyle w:val="Tablenormalleft"/>
              <w:keepNext w:val="0"/>
              <w:widowControl w:val="0"/>
              <w:jc w:val="left"/>
              <w:rPr>
                <w:szCs w:val="18"/>
              </w:rPr>
            </w:pPr>
            <w:r w:rsidRPr="004A1CDB">
              <w:t>1901.00</w:t>
            </w:r>
          </w:p>
        </w:tc>
        <w:tc>
          <w:tcPr>
            <w:tcW w:w="3510" w:type="dxa"/>
            <w:tcBorders>
              <w:left w:val="none" w:sz="0" w:space="0" w:color="auto"/>
              <w:bottom w:val="single" w:sz="8" w:space="0" w:color="7BA0CD" w:themeColor="accent1" w:themeTint="BF"/>
              <w:right w:val="none" w:sz="0" w:space="0" w:color="auto"/>
            </w:tcBorders>
            <w:noWrap/>
            <w:vAlign w:val="center"/>
          </w:tcPr>
          <w:p w14:paraId="4C535C9A" w14:textId="6BB84FD1"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Physical Sciences, General</w:t>
            </w:r>
          </w:p>
        </w:tc>
        <w:tc>
          <w:tcPr>
            <w:tcW w:w="1170" w:type="dxa"/>
            <w:tcBorders>
              <w:left w:val="none" w:sz="0" w:space="0" w:color="auto"/>
              <w:bottom w:val="single" w:sz="8" w:space="0" w:color="7BA0CD" w:themeColor="accent1" w:themeTint="BF"/>
              <w:right w:val="none" w:sz="0" w:space="0" w:color="auto"/>
            </w:tcBorders>
            <w:noWrap/>
            <w:vAlign w:val="center"/>
          </w:tcPr>
          <w:p w14:paraId="351461A7" w14:textId="43C0CF1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69F3181C" w14:textId="6CB35E89"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3</w:t>
            </w:r>
          </w:p>
        </w:tc>
        <w:tc>
          <w:tcPr>
            <w:tcW w:w="1260" w:type="dxa"/>
            <w:tcBorders>
              <w:left w:val="none" w:sz="0" w:space="0" w:color="auto"/>
              <w:bottom w:val="single" w:sz="8" w:space="0" w:color="7BA0CD" w:themeColor="accent1" w:themeTint="BF"/>
              <w:right w:val="none" w:sz="0" w:space="0" w:color="auto"/>
            </w:tcBorders>
            <w:noWrap/>
            <w:vAlign w:val="center"/>
          </w:tcPr>
          <w:p w14:paraId="2DF0DF36" w14:textId="5809969A"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0CAFE9D2" w14:textId="6AFB208F"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(3)</w:t>
            </w:r>
          </w:p>
        </w:tc>
        <w:tc>
          <w:tcPr>
            <w:tcW w:w="900" w:type="dxa"/>
            <w:tcBorders>
              <w:left w:val="none" w:sz="0" w:space="0" w:color="auto"/>
              <w:bottom w:val="single" w:sz="8" w:space="0" w:color="7BA0CD" w:themeColor="accent1" w:themeTint="BF"/>
            </w:tcBorders>
            <w:noWrap/>
            <w:vAlign w:val="center"/>
          </w:tcPr>
          <w:p w14:paraId="53A9D08A" w14:textId="555F1D2D"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$48.95 </w:t>
            </w:r>
          </w:p>
        </w:tc>
      </w:tr>
      <w:tr w:rsidR="006C0F11" w:rsidRPr="003B7F14" w14:paraId="1FD63EF5"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30B2ED18" w14:textId="214020EB" w:rsidR="006C0F11" w:rsidRPr="000904A1" w:rsidRDefault="006C0F11" w:rsidP="006C0F11">
            <w:pPr>
              <w:pStyle w:val="Tablenormalleft"/>
              <w:keepNext w:val="0"/>
              <w:widowControl w:val="0"/>
              <w:jc w:val="left"/>
              <w:rPr>
                <w:szCs w:val="18"/>
              </w:rPr>
            </w:pPr>
            <w:r w:rsidRPr="004A1CDB">
              <w:t>956.50</w:t>
            </w:r>
          </w:p>
        </w:tc>
        <w:tc>
          <w:tcPr>
            <w:tcW w:w="3510" w:type="dxa"/>
            <w:tcBorders>
              <w:left w:val="none" w:sz="0" w:space="0" w:color="auto"/>
              <w:bottom w:val="single" w:sz="8" w:space="0" w:color="7BA0CD" w:themeColor="accent1" w:themeTint="BF"/>
              <w:right w:val="none" w:sz="0" w:space="0" w:color="auto"/>
            </w:tcBorders>
            <w:noWrap/>
            <w:vAlign w:val="center"/>
          </w:tcPr>
          <w:p w14:paraId="5B3E7ED2" w14:textId="210B06A8"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Welding Technology</w:t>
            </w:r>
          </w:p>
        </w:tc>
        <w:tc>
          <w:tcPr>
            <w:tcW w:w="1170" w:type="dxa"/>
            <w:tcBorders>
              <w:left w:val="none" w:sz="0" w:space="0" w:color="auto"/>
              <w:bottom w:val="single" w:sz="8" w:space="0" w:color="7BA0CD" w:themeColor="accent1" w:themeTint="BF"/>
              <w:right w:val="none" w:sz="0" w:space="0" w:color="auto"/>
            </w:tcBorders>
            <w:noWrap/>
            <w:vAlign w:val="center"/>
          </w:tcPr>
          <w:p w14:paraId="0794149C" w14:textId="3F9380AF"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2</w:t>
            </w:r>
          </w:p>
        </w:tc>
        <w:tc>
          <w:tcPr>
            <w:tcW w:w="1260" w:type="dxa"/>
            <w:tcBorders>
              <w:left w:val="none" w:sz="0" w:space="0" w:color="auto"/>
              <w:bottom w:val="single" w:sz="8" w:space="0" w:color="7BA0CD" w:themeColor="accent1" w:themeTint="BF"/>
              <w:right w:val="none" w:sz="0" w:space="0" w:color="auto"/>
            </w:tcBorders>
            <w:vAlign w:val="center"/>
          </w:tcPr>
          <w:p w14:paraId="56E761BD" w14:textId="14C682D0"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6</w:t>
            </w:r>
          </w:p>
        </w:tc>
        <w:tc>
          <w:tcPr>
            <w:tcW w:w="1260" w:type="dxa"/>
            <w:tcBorders>
              <w:left w:val="none" w:sz="0" w:space="0" w:color="auto"/>
              <w:bottom w:val="single" w:sz="8" w:space="0" w:color="7BA0CD" w:themeColor="accent1" w:themeTint="BF"/>
              <w:right w:val="none" w:sz="0" w:space="0" w:color="auto"/>
            </w:tcBorders>
            <w:noWrap/>
            <w:vAlign w:val="center"/>
          </w:tcPr>
          <w:p w14:paraId="059D6AED" w14:textId="5ACE70B5"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w:t>
            </w:r>
          </w:p>
        </w:tc>
        <w:tc>
          <w:tcPr>
            <w:tcW w:w="900" w:type="dxa"/>
            <w:tcBorders>
              <w:left w:val="none" w:sz="0" w:space="0" w:color="auto"/>
              <w:bottom w:val="single" w:sz="8" w:space="0" w:color="7BA0CD" w:themeColor="accent1" w:themeTint="BF"/>
              <w:right w:val="none" w:sz="0" w:space="0" w:color="auto"/>
            </w:tcBorders>
            <w:vAlign w:val="center"/>
          </w:tcPr>
          <w:p w14:paraId="031BC2B8" w14:textId="2CACDAA9"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(4)</w:t>
            </w:r>
          </w:p>
        </w:tc>
        <w:tc>
          <w:tcPr>
            <w:tcW w:w="900" w:type="dxa"/>
            <w:tcBorders>
              <w:left w:val="none" w:sz="0" w:space="0" w:color="auto"/>
              <w:bottom w:val="single" w:sz="8" w:space="0" w:color="7BA0CD" w:themeColor="accent1" w:themeTint="BF"/>
            </w:tcBorders>
            <w:noWrap/>
            <w:vAlign w:val="center"/>
          </w:tcPr>
          <w:p w14:paraId="5B09BE4C" w14:textId="754920A3"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$15.57 </w:t>
            </w:r>
          </w:p>
        </w:tc>
      </w:tr>
      <w:tr w:rsidR="006C0F11" w:rsidRPr="003B7F14" w14:paraId="6AB5BB45"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793A0335" w14:textId="6C83CA68" w:rsidR="006C0F11" w:rsidRPr="000904A1" w:rsidRDefault="006C0F11" w:rsidP="006C0F11">
            <w:pPr>
              <w:pStyle w:val="Tablenormalleft"/>
              <w:keepNext w:val="0"/>
              <w:widowControl w:val="0"/>
              <w:jc w:val="left"/>
              <w:rPr>
                <w:szCs w:val="18"/>
              </w:rPr>
            </w:pPr>
            <w:r w:rsidRPr="004A1CDB">
              <w:t>1502.00</w:t>
            </w:r>
          </w:p>
        </w:tc>
        <w:tc>
          <w:tcPr>
            <w:tcW w:w="3510" w:type="dxa"/>
            <w:tcBorders>
              <w:left w:val="none" w:sz="0" w:space="0" w:color="auto"/>
              <w:bottom w:val="single" w:sz="8" w:space="0" w:color="7BA0CD" w:themeColor="accent1" w:themeTint="BF"/>
              <w:right w:val="none" w:sz="0" w:space="0" w:color="auto"/>
            </w:tcBorders>
            <w:noWrap/>
            <w:vAlign w:val="center"/>
          </w:tcPr>
          <w:p w14:paraId="419A1006" w14:textId="29DE98DF"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Language Arts</w:t>
            </w:r>
          </w:p>
        </w:tc>
        <w:tc>
          <w:tcPr>
            <w:tcW w:w="1170" w:type="dxa"/>
            <w:tcBorders>
              <w:left w:val="none" w:sz="0" w:space="0" w:color="auto"/>
              <w:bottom w:val="single" w:sz="8" w:space="0" w:color="7BA0CD" w:themeColor="accent1" w:themeTint="BF"/>
              <w:right w:val="none" w:sz="0" w:space="0" w:color="auto"/>
            </w:tcBorders>
            <w:noWrap/>
            <w:vAlign w:val="center"/>
          </w:tcPr>
          <w:p w14:paraId="4E65951D" w14:textId="7521FF54"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2A1658B2" w14:textId="0EAC9C0D"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4</w:t>
            </w:r>
          </w:p>
        </w:tc>
        <w:tc>
          <w:tcPr>
            <w:tcW w:w="1260" w:type="dxa"/>
            <w:tcBorders>
              <w:left w:val="none" w:sz="0" w:space="0" w:color="auto"/>
              <w:bottom w:val="single" w:sz="8" w:space="0" w:color="7BA0CD" w:themeColor="accent1" w:themeTint="BF"/>
              <w:right w:val="none" w:sz="0" w:space="0" w:color="auto"/>
            </w:tcBorders>
            <w:noWrap/>
            <w:vAlign w:val="center"/>
          </w:tcPr>
          <w:p w14:paraId="3655725E" w14:textId="72D7760D"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3</w:t>
            </w:r>
          </w:p>
        </w:tc>
        <w:tc>
          <w:tcPr>
            <w:tcW w:w="900" w:type="dxa"/>
            <w:tcBorders>
              <w:left w:val="none" w:sz="0" w:space="0" w:color="auto"/>
              <w:bottom w:val="single" w:sz="8" w:space="0" w:color="7BA0CD" w:themeColor="accent1" w:themeTint="BF"/>
              <w:right w:val="none" w:sz="0" w:space="0" w:color="auto"/>
            </w:tcBorders>
            <w:vAlign w:val="center"/>
          </w:tcPr>
          <w:p w14:paraId="0711417D" w14:textId="6FA5BC53"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(4)</w:t>
            </w:r>
          </w:p>
        </w:tc>
        <w:tc>
          <w:tcPr>
            <w:tcW w:w="900" w:type="dxa"/>
            <w:tcBorders>
              <w:left w:val="none" w:sz="0" w:space="0" w:color="auto"/>
              <w:bottom w:val="single" w:sz="8" w:space="0" w:color="7BA0CD" w:themeColor="accent1" w:themeTint="BF"/>
            </w:tcBorders>
            <w:noWrap/>
            <w:vAlign w:val="center"/>
          </w:tcPr>
          <w:p w14:paraId="3C0A1ADF" w14:textId="03BC5709"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$28.92 </w:t>
            </w:r>
          </w:p>
        </w:tc>
      </w:tr>
      <w:tr w:rsidR="006C0F11" w:rsidRPr="003B7F14" w14:paraId="71CDA998"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58DE333C" w14:textId="64299FF0" w:rsidR="006C0F11" w:rsidRPr="000904A1" w:rsidRDefault="006C0F11" w:rsidP="006C0F11">
            <w:pPr>
              <w:pStyle w:val="Tablenormalleft"/>
              <w:keepNext w:val="0"/>
              <w:widowControl w:val="0"/>
              <w:jc w:val="left"/>
              <w:rPr>
                <w:szCs w:val="18"/>
              </w:rPr>
            </w:pPr>
            <w:r w:rsidRPr="004A1CDB">
              <w:t>3020.00</w:t>
            </w:r>
          </w:p>
        </w:tc>
        <w:tc>
          <w:tcPr>
            <w:tcW w:w="3510" w:type="dxa"/>
            <w:tcBorders>
              <w:left w:val="none" w:sz="0" w:space="0" w:color="auto"/>
              <w:bottom w:val="single" w:sz="8" w:space="0" w:color="7BA0CD" w:themeColor="accent1" w:themeTint="BF"/>
              <w:right w:val="none" w:sz="0" w:space="0" w:color="auto"/>
            </w:tcBorders>
            <w:noWrap/>
            <w:vAlign w:val="center"/>
          </w:tcPr>
          <w:p w14:paraId="5F607796" w14:textId="71C1E609"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Aviation and Airport Management and Services</w:t>
            </w:r>
          </w:p>
        </w:tc>
        <w:tc>
          <w:tcPr>
            <w:tcW w:w="1170" w:type="dxa"/>
            <w:tcBorders>
              <w:left w:val="none" w:sz="0" w:space="0" w:color="auto"/>
              <w:bottom w:val="single" w:sz="8" w:space="0" w:color="7BA0CD" w:themeColor="accent1" w:themeTint="BF"/>
              <w:right w:val="none" w:sz="0" w:space="0" w:color="auto"/>
            </w:tcBorders>
            <w:noWrap/>
            <w:vAlign w:val="center"/>
          </w:tcPr>
          <w:p w14:paraId="12D899D3" w14:textId="68C28095"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1A91EF73" w14:textId="0D2DA31C"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6</w:t>
            </w:r>
          </w:p>
        </w:tc>
        <w:tc>
          <w:tcPr>
            <w:tcW w:w="1260" w:type="dxa"/>
            <w:tcBorders>
              <w:left w:val="none" w:sz="0" w:space="0" w:color="auto"/>
              <w:bottom w:val="single" w:sz="8" w:space="0" w:color="7BA0CD" w:themeColor="accent1" w:themeTint="BF"/>
              <w:right w:val="none" w:sz="0" w:space="0" w:color="auto"/>
            </w:tcBorders>
            <w:noWrap/>
            <w:vAlign w:val="center"/>
          </w:tcPr>
          <w:p w14:paraId="6B9BC04D" w14:textId="17F1AF4F"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6</w:t>
            </w:r>
          </w:p>
        </w:tc>
        <w:tc>
          <w:tcPr>
            <w:tcW w:w="900" w:type="dxa"/>
            <w:tcBorders>
              <w:left w:val="none" w:sz="0" w:space="0" w:color="auto"/>
              <w:bottom w:val="single" w:sz="8" w:space="0" w:color="7BA0CD" w:themeColor="accent1" w:themeTint="BF"/>
              <w:right w:val="none" w:sz="0" w:space="0" w:color="auto"/>
            </w:tcBorders>
            <w:vAlign w:val="center"/>
          </w:tcPr>
          <w:p w14:paraId="512D4CA6" w14:textId="65A27FAB"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(6)</w:t>
            </w:r>
          </w:p>
        </w:tc>
        <w:tc>
          <w:tcPr>
            <w:tcW w:w="900" w:type="dxa"/>
            <w:tcBorders>
              <w:left w:val="none" w:sz="0" w:space="0" w:color="auto"/>
              <w:bottom w:val="single" w:sz="8" w:space="0" w:color="7BA0CD" w:themeColor="accent1" w:themeTint="BF"/>
            </w:tcBorders>
            <w:noWrap/>
            <w:vAlign w:val="center"/>
          </w:tcPr>
          <w:p w14:paraId="51E24DC0" w14:textId="38D85D39"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$37.13 </w:t>
            </w:r>
          </w:p>
        </w:tc>
      </w:tr>
      <w:tr w:rsidR="006C0F11" w:rsidRPr="003B7F14" w14:paraId="2C70EA8F"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79F02D2B" w14:textId="3E7B58B4" w:rsidR="006C0F11" w:rsidRPr="000904A1" w:rsidRDefault="006C0F11" w:rsidP="006C0F11">
            <w:pPr>
              <w:pStyle w:val="Tablenormalleft"/>
              <w:keepNext w:val="0"/>
              <w:widowControl w:val="0"/>
              <w:jc w:val="left"/>
              <w:rPr>
                <w:szCs w:val="18"/>
              </w:rPr>
            </w:pPr>
            <w:r w:rsidRPr="004A1CDB">
              <w:t>835.00</w:t>
            </w:r>
          </w:p>
        </w:tc>
        <w:tc>
          <w:tcPr>
            <w:tcW w:w="3510" w:type="dxa"/>
            <w:tcBorders>
              <w:left w:val="none" w:sz="0" w:space="0" w:color="auto"/>
              <w:bottom w:val="single" w:sz="8" w:space="0" w:color="7BA0CD" w:themeColor="accent1" w:themeTint="BF"/>
              <w:right w:val="none" w:sz="0" w:space="0" w:color="auto"/>
            </w:tcBorders>
            <w:noWrap/>
            <w:vAlign w:val="center"/>
          </w:tcPr>
          <w:p w14:paraId="0E01BBB1" w14:textId="216ECBF4"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Physical Education</w:t>
            </w:r>
          </w:p>
        </w:tc>
        <w:tc>
          <w:tcPr>
            <w:tcW w:w="1170" w:type="dxa"/>
            <w:tcBorders>
              <w:left w:val="none" w:sz="0" w:space="0" w:color="auto"/>
              <w:bottom w:val="single" w:sz="8" w:space="0" w:color="7BA0CD" w:themeColor="accent1" w:themeTint="BF"/>
              <w:right w:val="none" w:sz="0" w:space="0" w:color="auto"/>
            </w:tcBorders>
            <w:noWrap/>
            <w:vAlign w:val="center"/>
          </w:tcPr>
          <w:p w14:paraId="738A2C85" w14:textId="5E383D53"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w:t>
            </w:r>
          </w:p>
        </w:tc>
        <w:tc>
          <w:tcPr>
            <w:tcW w:w="1260" w:type="dxa"/>
            <w:tcBorders>
              <w:left w:val="none" w:sz="0" w:space="0" w:color="auto"/>
              <w:bottom w:val="single" w:sz="8" w:space="0" w:color="7BA0CD" w:themeColor="accent1" w:themeTint="BF"/>
              <w:right w:val="none" w:sz="0" w:space="0" w:color="auto"/>
            </w:tcBorders>
            <w:vAlign w:val="center"/>
          </w:tcPr>
          <w:p w14:paraId="16DAE580" w14:textId="3ABEDA07"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7</w:t>
            </w:r>
          </w:p>
        </w:tc>
        <w:tc>
          <w:tcPr>
            <w:tcW w:w="1260" w:type="dxa"/>
            <w:tcBorders>
              <w:left w:val="none" w:sz="0" w:space="0" w:color="auto"/>
              <w:bottom w:val="single" w:sz="8" w:space="0" w:color="7BA0CD" w:themeColor="accent1" w:themeTint="BF"/>
              <w:right w:val="none" w:sz="0" w:space="0" w:color="auto"/>
            </w:tcBorders>
            <w:noWrap/>
            <w:vAlign w:val="center"/>
          </w:tcPr>
          <w:p w14:paraId="66A32AA7" w14:textId="2959D8D5"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7</w:t>
            </w:r>
          </w:p>
        </w:tc>
        <w:tc>
          <w:tcPr>
            <w:tcW w:w="900" w:type="dxa"/>
            <w:tcBorders>
              <w:left w:val="none" w:sz="0" w:space="0" w:color="auto"/>
              <w:bottom w:val="single" w:sz="8" w:space="0" w:color="7BA0CD" w:themeColor="accent1" w:themeTint="BF"/>
              <w:right w:val="none" w:sz="0" w:space="0" w:color="auto"/>
            </w:tcBorders>
            <w:vAlign w:val="center"/>
          </w:tcPr>
          <w:p w14:paraId="1CA829A1" w14:textId="0EFED40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(6)</w:t>
            </w:r>
          </w:p>
        </w:tc>
        <w:tc>
          <w:tcPr>
            <w:tcW w:w="900" w:type="dxa"/>
            <w:tcBorders>
              <w:left w:val="none" w:sz="0" w:space="0" w:color="auto"/>
              <w:bottom w:val="single" w:sz="8" w:space="0" w:color="7BA0CD" w:themeColor="accent1" w:themeTint="BF"/>
            </w:tcBorders>
            <w:noWrap/>
            <w:vAlign w:val="center"/>
          </w:tcPr>
          <w:p w14:paraId="7A51BA9C" w14:textId="2551BA9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$29.11 </w:t>
            </w:r>
          </w:p>
        </w:tc>
      </w:tr>
      <w:tr w:rsidR="006C0F11" w:rsidRPr="003B7F14" w14:paraId="207B2606"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02E33B68" w14:textId="25D828D4" w:rsidR="006C0F11" w:rsidRPr="000904A1" w:rsidRDefault="006C0F11" w:rsidP="006C0F11">
            <w:pPr>
              <w:pStyle w:val="Tablenormalleft"/>
              <w:keepNext w:val="0"/>
              <w:widowControl w:val="0"/>
              <w:jc w:val="left"/>
              <w:rPr>
                <w:szCs w:val="18"/>
              </w:rPr>
            </w:pPr>
            <w:r w:rsidRPr="004A1CDB">
              <w:t>112.00</w:t>
            </w:r>
          </w:p>
        </w:tc>
        <w:tc>
          <w:tcPr>
            <w:tcW w:w="3510" w:type="dxa"/>
            <w:tcBorders>
              <w:left w:val="none" w:sz="0" w:space="0" w:color="auto"/>
              <w:bottom w:val="single" w:sz="8" w:space="0" w:color="7BA0CD" w:themeColor="accent1" w:themeTint="BF"/>
              <w:right w:val="none" w:sz="0" w:space="0" w:color="auto"/>
            </w:tcBorders>
            <w:noWrap/>
            <w:vAlign w:val="center"/>
          </w:tcPr>
          <w:p w14:paraId="626AB4E2" w14:textId="44C35647"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Agriculture Business, Sales and Service</w:t>
            </w:r>
          </w:p>
        </w:tc>
        <w:tc>
          <w:tcPr>
            <w:tcW w:w="1170" w:type="dxa"/>
            <w:tcBorders>
              <w:left w:val="none" w:sz="0" w:space="0" w:color="auto"/>
              <w:bottom w:val="single" w:sz="8" w:space="0" w:color="7BA0CD" w:themeColor="accent1" w:themeTint="BF"/>
              <w:right w:val="none" w:sz="0" w:space="0" w:color="auto"/>
            </w:tcBorders>
            <w:noWrap/>
            <w:vAlign w:val="center"/>
          </w:tcPr>
          <w:p w14:paraId="32AA3379" w14:textId="78329A34"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3</w:t>
            </w:r>
          </w:p>
        </w:tc>
        <w:tc>
          <w:tcPr>
            <w:tcW w:w="1260" w:type="dxa"/>
            <w:tcBorders>
              <w:left w:val="none" w:sz="0" w:space="0" w:color="auto"/>
              <w:bottom w:val="single" w:sz="8" w:space="0" w:color="7BA0CD" w:themeColor="accent1" w:themeTint="BF"/>
              <w:right w:val="none" w:sz="0" w:space="0" w:color="auto"/>
            </w:tcBorders>
            <w:vAlign w:val="center"/>
          </w:tcPr>
          <w:p w14:paraId="46856C9E" w14:textId="2A1E889B"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13</w:t>
            </w:r>
          </w:p>
        </w:tc>
        <w:tc>
          <w:tcPr>
            <w:tcW w:w="1260" w:type="dxa"/>
            <w:tcBorders>
              <w:left w:val="none" w:sz="0" w:space="0" w:color="auto"/>
              <w:bottom w:val="single" w:sz="8" w:space="0" w:color="7BA0CD" w:themeColor="accent1" w:themeTint="BF"/>
              <w:right w:val="none" w:sz="0" w:space="0" w:color="auto"/>
            </w:tcBorders>
            <w:noWrap/>
            <w:vAlign w:val="center"/>
          </w:tcPr>
          <w:p w14:paraId="07A4C411" w14:textId="619E67FD"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10</w:t>
            </w:r>
          </w:p>
        </w:tc>
        <w:tc>
          <w:tcPr>
            <w:tcW w:w="900" w:type="dxa"/>
            <w:tcBorders>
              <w:left w:val="none" w:sz="0" w:space="0" w:color="auto"/>
              <w:bottom w:val="single" w:sz="8" w:space="0" w:color="7BA0CD" w:themeColor="accent1" w:themeTint="BF"/>
              <w:right w:val="none" w:sz="0" w:space="0" w:color="auto"/>
            </w:tcBorders>
            <w:vAlign w:val="center"/>
          </w:tcPr>
          <w:p w14:paraId="57026B69" w14:textId="7B544F9A"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(9)</w:t>
            </w:r>
          </w:p>
        </w:tc>
        <w:tc>
          <w:tcPr>
            <w:tcW w:w="900" w:type="dxa"/>
            <w:tcBorders>
              <w:left w:val="none" w:sz="0" w:space="0" w:color="auto"/>
              <w:bottom w:val="single" w:sz="8" w:space="0" w:color="7BA0CD" w:themeColor="accent1" w:themeTint="BF"/>
            </w:tcBorders>
            <w:noWrap/>
            <w:vAlign w:val="center"/>
          </w:tcPr>
          <w:p w14:paraId="12DF6D92" w14:textId="5499E659"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$19.25 </w:t>
            </w:r>
          </w:p>
        </w:tc>
      </w:tr>
      <w:tr w:rsidR="006C0F11" w:rsidRPr="003B7F14" w14:paraId="148400A9"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2F6E7F8F" w14:textId="394B0874" w:rsidR="006C0F11" w:rsidRPr="000904A1" w:rsidRDefault="006C0F11" w:rsidP="006C0F11">
            <w:pPr>
              <w:pStyle w:val="Tablenormalleft"/>
              <w:keepNext w:val="0"/>
              <w:widowControl w:val="0"/>
              <w:jc w:val="left"/>
              <w:rPr>
                <w:szCs w:val="18"/>
              </w:rPr>
            </w:pPr>
            <w:r w:rsidRPr="004A1CDB">
              <w:t>101.00</w:t>
            </w:r>
          </w:p>
        </w:tc>
        <w:tc>
          <w:tcPr>
            <w:tcW w:w="3510" w:type="dxa"/>
            <w:tcBorders>
              <w:left w:val="none" w:sz="0" w:space="0" w:color="auto"/>
              <w:bottom w:val="single" w:sz="8" w:space="0" w:color="7BA0CD" w:themeColor="accent1" w:themeTint="BF"/>
              <w:right w:val="none" w:sz="0" w:space="0" w:color="auto"/>
            </w:tcBorders>
            <w:noWrap/>
            <w:vAlign w:val="center"/>
          </w:tcPr>
          <w:p w14:paraId="3D206073" w14:textId="32E99C96"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615EFA">
              <w:t>Agriculture Technology and Sciences, General</w:t>
            </w:r>
            <w:r w:rsidR="00AA69F5">
              <w:t xml:space="preserve"> (CIP 1.0102)</w:t>
            </w:r>
          </w:p>
        </w:tc>
        <w:tc>
          <w:tcPr>
            <w:tcW w:w="1170" w:type="dxa"/>
            <w:tcBorders>
              <w:left w:val="none" w:sz="0" w:space="0" w:color="auto"/>
              <w:bottom w:val="single" w:sz="8" w:space="0" w:color="7BA0CD" w:themeColor="accent1" w:themeTint="BF"/>
              <w:right w:val="none" w:sz="0" w:space="0" w:color="auto"/>
            </w:tcBorders>
            <w:noWrap/>
            <w:vAlign w:val="center"/>
          </w:tcPr>
          <w:p w14:paraId="1E20EAE7" w14:textId="7BFE73C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w:t>
            </w:r>
          </w:p>
        </w:tc>
        <w:tc>
          <w:tcPr>
            <w:tcW w:w="1260" w:type="dxa"/>
            <w:tcBorders>
              <w:left w:val="none" w:sz="0" w:space="0" w:color="auto"/>
              <w:bottom w:val="single" w:sz="8" w:space="0" w:color="7BA0CD" w:themeColor="accent1" w:themeTint="BF"/>
              <w:right w:val="none" w:sz="0" w:space="0" w:color="auto"/>
            </w:tcBorders>
            <w:vAlign w:val="center"/>
          </w:tcPr>
          <w:p w14:paraId="6FE07290" w14:textId="6B3B4C0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11</w:t>
            </w:r>
          </w:p>
        </w:tc>
        <w:tc>
          <w:tcPr>
            <w:tcW w:w="1260" w:type="dxa"/>
            <w:tcBorders>
              <w:left w:val="none" w:sz="0" w:space="0" w:color="auto"/>
              <w:bottom w:val="single" w:sz="8" w:space="0" w:color="7BA0CD" w:themeColor="accent1" w:themeTint="BF"/>
              <w:right w:val="none" w:sz="0" w:space="0" w:color="auto"/>
            </w:tcBorders>
            <w:noWrap/>
            <w:vAlign w:val="center"/>
          </w:tcPr>
          <w:p w14:paraId="1097E591" w14:textId="474B4092"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4</w:t>
            </w:r>
          </w:p>
        </w:tc>
        <w:tc>
          <w:tcPr>
            <w:tcW w:w="900" w:type="dxa"/>
            <w:tcBorders>
              <w:left w:val="none" w:sz="0" w:space="0" w:color="auto"/>
              <w:bottom w:val="single" w:sz="8" w:space="0" w:color="7BA0CD" w:themeColor="accent1" w:themeTint="BF"/>
              <w:right w:val="none" w:sz="0" w:space="0" w:color="auto"/>
            </w:tcBorders>
            <w:vAlign w:val="center"/>
          </w:tcPr>
          <w:p w14:paraId="2E4EAAB1" w14:textId="650B4EF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(10)</w:t>
            </w:r>
          </w:p>
        </w:tc>
        <w:tc>
          <w:tcPr>
            <w:tcW w:w="900" w:type="dxa"/>
            <w:tcBorders>
              <w:left w:val="none" w:sz="0" w:space="0" w:color="auto"/>
              <w:bottom w:val="single" w:sz="8" w:space="0" w:color="7BA0CD" w:themeColor="accent1" w:themeTint="BF"/>
            </w:tcBorders>
            <w:noWrap/>
            <w:vAlign w:val="center"/>
          </w:tcPr>
          <w:p w14:paraId="1AF718ED" w14:textId="1C799B61"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$27.42 </w:t>
            </w:r>
          </w:p>
        </w:tc>
      </w:tr>
      <w:tr w:rsidR="006C0F11" w:rsidRPr="003B7F14" w14:paraId="710021C7"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271A0E97" w14:textId="49F22F2B" w:rsidR="006C0F11" w:rsidRPr="000904A1" w:rsidRDefault="006C0F11" w:rsidP="006C0F11">
            <w:pPr>
              <w:pStyle w:val="Tablenormalleft"/>
              <w:keepNext w:val="0"/>
              <w:widowControl w:val="0"/>
              <w:jc w:val="left"/>
              <w:rPr>
                <w:szCs w:val="18"/>
              </w:rPr>
            </w:pPr>
            <w:r w:rsidRPr="004A1CDB">
              <w:t>114.00</w:t>
            </w:r>
          </w:p>
        </w:tc>
        <w:tc>
          <w:tcPr>
            <w:tcW w:w="3510" w:type="dxa"/>
            <w:tcBorders>
              <w:left w:val="none" w:sz="0" w:space="0" w:color="auto"/>
              <w:bottom w:val="single" w:sz="8" w:space="0" w:color="7BA0CD" w:themeColor="accent1" w:themeTint="BF"/>
              <w:right w:val="none" w:sz="0" w:space="0" w:color="auto"/>
            </w:tcBorders>
            <w:noWrap/>
            <w:vAlign w:val="center"/>
          </w:tcPr>
          <w:p w14:paraId="2DAE7D5D" w14:textId="49339EC1"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615EFA">
              <w:t>Forestry</w:t>
            </w:r>
            <w:r w:rsidR="00AA69F5">
              <w:t xml:space="preserve"> (CIP 3.0511)</w:t>
            </w:r>
          </w:p>
        </w:tc>
        <w:tc>
          <w:tcPr>
            <w:tcW w:w="1170" w:type="dxa"/>
            <w:tcBorders>
              <w:left w:val="none" w:sz="0" w:space="0" w:color="auto"/>
              <w:bottom w:val="single" w:sz="8" w:space="0" w:color="7BA0CD" w:themeColor="accent1" w:themeTint="BF"/>
              <w:right w:val="none" w:sz="0" w:space="0" w:color="auto"/>
            </w:tcBorders>
            <w:noWrap/>
            <w:vAlign w:val="center"/>
          </w:tcPr>
          <w:p w14:paraId="1A0C2FB4" w14:textId="49B8DC4E"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608EDAD7" w14:textId="16559011"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11</w:t>
            </w:r>
          </w:p>
        </w:tc>
        <w:tc>
          <w:tcPr>
            <w:tcW w:w="1260" w:type="dxa"/>
            <w:tcBorders>
              <w:left w:val="none" w:sz="0" w:space="0" w:color="auto"/>
              <w:bottom w:val="single" w:sz="8" w:space="0" w:color="7BA0CD" w:themeColor="accent1" w:themeTint="BF"/>
              <w:right w:val="none" w:sz="0" w:space="0" w:color="auto"/>
            </w:tcBorders>
            <w:noWrap/>
            <w:vAlign w:val="center"/>
          </w:tcPr>
          <w:p w14:paraId="636E4AC3" w14:textId="58A17EAA"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10</w:t>
            </w:r>
          </w:p>
        </w:tc>
        <w:tc>
          <w:tcPr>
            <w:tcW w:w="900" w:type="dxa"/>
            <w:tcBorders>
              <w:left w:val="none" w:sz="0" w:space="0" w:color="auto"/>
              <w:bottom w:val="single" w:sz="8" w:space="0" w:color="7BA0CD" w:themeColor="accent1" w:themeTint="BF"/>
              <w:right w:val="none" w:sz="0" w:space="0" w:color="auto"/>
            </w:tcBorders>
            <w:vAlign w:val="center"/>
          </w:tcPr>
          <w:p w14:paraId="193700D2" w14:textId="7DDA35BB"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(10)</w:t>
            </w:r>
          </w:p>
        </w:tc>
        <w:tc>
          <w:tcPr>
            <w:tcW w:w="900" w:type="dxa"/>
            <w:tcBorders>
              <w:left w:val="none" w:sz="0" w:space="0" w:color="auto"/>
              <w:bottom w:val="single" w:sz="8" w:space="0" w:color="7BA0CD" w:themeColor="accent1" w:themeTint="BF"/>
            </w:tcBorders>
            <w:noWrap/>
            <w:vAlign w:val="center"/>
          </w:tcPr>
          <w:p w14:paraId="6E2733EE" w14:textId="023B3385"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$14.25 </w:t>
            </w:r>
          </w:p>
        </w:tc>
      </w:tr>
      <w:tr w:rsidR="006C0F11" w:rsidRPr="003B7F14" w14:paraId="738A937B"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01EC0878" w14:textId="398478E7" w:rsidR="006C0F11" w:rsidRPr="000904A1" w:rsidRDefault="006C0F11" w:rsidP="006C0F11">
            <w:pPr>
              <w:pStyle w:val="Tablenormalleft"/>
              <w:keepNext w:val="0"/>
              <w:widowControl w:val="0"/>
              <w:jc w:val="left"/>
              <w:rPr>
                <w:color w:val="000000"/>
                <w:szCs w:val="18"/>
              </w:rPr>
            </w:pPr>
            <w:r w:rsidRPr="004A1CDB">
              <w:t>1002.00</w:t>
            </w:r>
          </w:p>
        </w:tc>
        <w:tc>
          <w:tcPr>
            <w:tcW w:w="3510" w:type="dxa"/>
            <w:tcBorders>
              <w:left w:val="none" w:sz="0" w:space="0" w:color="auto"/>
              <w:bottom w:val="single" w:sz="8" w:space="0" w:color="7BA0CD" w:themeColor="accent1" w:themeTint="BF"/>
              <w:right w:val="none" w:sz="0" w:space="0" w:color="auto"/>
            </w:tcBorders>
            <w:noWrap/>
            <w:vAlign w:val="center"/>
          </w:tcPr>
          <w:p w14:paraId="570D8995" w14:textId="27C44AFC"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615EFA">
              <w:t>Art (Painting, Drawing, and Sculpture)</w:t>
            </w:r>
          </w:p>
        </w:tc>
        <w:tc>
          <w:tcPr>
            <w:tcW w:w="1170" w:type="dxa"/>
            <w:tcBorders>
              <w:left w:val="none" w:sz="0" w:space="0" w:color="auto"/>
              <w:bottom w:val="single" w:sz="8" w:space="0" w:color="7BA0CD" w:themeColor="accent1" w:themeTint="BF"/>
              <w:right w:val="none" w:sz="0" w:space="0" w:color="auto"/>
            </w:tcBorders>
            <w:noWrap/>
            <w:vAlign w:val="center"/>
          </w:tcPr>
          <w:p w14:paraId="3D63F67E" w14:textId="50EB1B76"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3EF416B1" w14:textId="3FC8377A"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14</w:t>
            </w:r>
          </w:p>
        </w:tc>
        <w:tc>
          <w:tcPr>
            <w:tcW w:w="1260" w:type="dxa"/>
            <w:tcBorders>
              <w:left w:val="none" w:sz="0" w:space="0" w:color="auto"/>
              <w:bottom w:val="single" w:sz="8" w:space="0" w:color="7BA0CD" w:themeColor="accent1" w:themeTint="BF"/>
              <w:right w:val="none" w:sz="0" w:space="0" w:color="auto"/>
            </w:tcBorders>
            <w:noWrap/>
            <w:vAlign w:val="center"/>
          </w:tcPr>
          <w:p w14:paraId="351752C0" w14:textId="7FDB1AFB"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8</w:t>
            </w:r>
          </w:p>
        </w:tc>
        <w:tc>
          <w:tcPr>
            <w:tcW w:w="900" w:type="dxa"/>
            <w:tcBorders>
              <w:left w:val="none" w:sz="0" w:space="0" w:color="auto"/>
              <w:bottom w:val="single" w:sz="8" w:space="0" w:color="7BA0CD" w:themeColor="accent1" w:themeTint="BF"/>
              <w:right w:val="none" w:sz="0" w:space="0" w:color="auto"/>
            </w:tcBorders>
            <w:vAlign w:val="center"/>
          </w:tcPr>
          <w:p w14:paraId="5ACE7068" w14:textId="09A76A7E"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E05FBA">
              <w:t>(14)</w:t>
            </w:r>
          </w:p>
        </w:tc>
        <w:tc>
          <w:tcPr>
            <w:tcW w:w="900" w:type="dxa"/>
            <w:tcBorders>
              <w:left w:val="none" w:sz="0" w:space="0" w:color="auto"/>
              <w:bottom w:val="single" w:sz="8" w:space="0" w:color="7BA0CD" w:themeColor="accent1" w:themeTint="BF"/>
            </w:tcBorders>
            <w:noWrap/>
            <w:vAlign w:val="center"/>
          </w:tcPr>
          <w:p w14:paraId="3CBB2BC2" w14:textId="6AF711AF"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$14.62 </w:t>
            </w:r>
          </w:p>
        </w:tc>
      </w:tr>
      <w:tr w:rsidR="006C0F11" w:rsidRPr="003B7F14" w14:paraId="1684527D"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2648C601" w14:textId="0610C71E" w:rsidR="006C0F11" w:rsidRPr="000904A1" w:rsidRDefault="006C0F11" w:rsidP="006C0F11">
            <w:pPr>
              <w:pStyle w:val="Tablenormalleft"/>
              <w:keepNext w:val="0"/>
              <w:widowControl w:val="0"/>
              <w:jc w:val="left"/>
              <w:rPr>
                <w:color w:val="000000"/>
                <w:szCs w:val="18"/>
              </w:rPr>
            </w:pPr>
            <w:r w:rsidRPr="004A1CDB">
              <w:t>514.20</w:t>
            </w:r>
          </w:p>
        </w:tc>
        <w:tc>
          <w:tcPr>
            <w:tcW w:w="3510" w:type="dxa"/>
            <w:tcBorders>
              <w:left w:val="none" w:sz="0" w:space="0" w:color="auto"/>
              <w:bottom w:val="single" w:sz="8" w:space="0" w:color="7BA0CD" w:themeColor="accent1" w:themeTint="BF"/>
              <w:right w:val="none" w:sz="0" w:space="0" w:color="auto"/>
            </w:tcBorders>
            <w:noWrap/>
            <w:vAlign w:val="center"/>
          </w:tcPr>
          <w:p w14:paraId="50E0D2A1" w14:textId="5956E514"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615EFA">
              <w:t>Medical Office Technology</w:t>
            </w:r>
          </w:p>
        </w:tc>
        <w:tc>
          <w:tcPr>
            <w:tcW w:w="1170" w:type="dxa"/>
            <w:tcBorders>
              <w:left w:val="none" w:sz="0" w:space="0" w:color="auto"/>
              <w:bottom w:val="single" w:sz="8" w:space="0" w:color="7BA0CD" w:themeColor="accent1" w:themeTint="BF"/>
              <w:right w:val="none" w:sz="0" w:space="0" w:color="auto"/>
            </w:tcBorders>
            <w:noWrap/>
            <w:vAlign w:val="center"/>
          </w:tcPr>
          <w:p w14:paraId="5BFD4227" w14:textId="5C83BC62"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8</w:t>
            </w:r>
          </w:p>
        </w:tc>
        <w:tc>
          <w:tcPr>
            <w:tcW w:w="1260" w:type="dxa"/>
            <w:tcBorders>
              <w:left w:val="none" w:sz="0" w:space="0" w:color="auto"/>
              <w:bottom w:val="single" w:sz="8" w:space="0" w:color="7BA0CD" w:themeColor="accent1" w:themeTint="BF"/>
              <w:right w:val="none" w:sz="0" w:space="0" w:color="auto"/>
            </w:tcBorders>
            <w:vAlign w:val="center"/>
          </w:tcPr>
          <w:p w14:paraId="1DDFBFF1" w14:textId="38130F28"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25</w:t>
            </w:r>
          </w:p>
        </w:tc>
        <w:tc>
          <w:tcPr>
            <w:tcW w:w="1260" w:type="dxa"/>
            <w:tcBorders>
              <w:left w:val="none" w:sz="0" w:space="0" w:color="auto"/>
              <w:bottom w:val="single" w:sz="8" w:space="0" w:color="7BA0CD" w:themeColor="accent1" w:themeTint="BF"/>
              <w:right w:val="none" w:sz="0" w:space="0" w:color="auto"/>
            </w:tcBorders>
            <w:noWrap/>
            <w:vAlign w:val="center"/>
          </w:tcPr>
          <w:p w14:paraId="2BD33800" w14:textId="06F92E18"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9</w:t>
            </w:r>
          </w:p>
        </w:tc>
        <w:tc>
          <w:tcPr>
            <w:tcW w:w="900" w:type="dxa"/>
            <w:tcBorders>
              <w:left w:val="none" w:sz="0" w:space="0" w:color="auto"/>
              <w:bottom w:val="single" w:sz="8" w:space="0" w:color="7BA0CD" w:themeColor="accent1" w:themeTint="BF"/>
              <w:right w:val="none" w:sz="0" w:space="0" w:color="auto"/>
            </w:tcBorders>
            <w:vAlign w:val="center"/>
          </w:tcPr>
          <w:p w14:paraId="61181B5C" w14:textId="1C64BB0A"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E05FBA">
              <w:t>(17)</w:t>
            </w:r>
          </w:p>
        </w:tc>
        <w:tc>
          <w:tcPr>
            <w:tcW w:w="900" w:type="dxa"/>
            <w:tcBorders>
              <w:left w:val="none" w:sz="0" w:space="0" w:color="auto"/>
              <w:bottom w:val="single" w:sz="8" w:space="0" w:color="7BA0CD" w:themeColor="accent1" w:themeTint="BF"/>
            </w:tcBorders>
            <w:noWrap/>
            <w:vAlign w:val="center"/>
          </w:tcPr>
          <w:p w14:paraId="74DE7D92" w14:textId="3A86AB9C"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$14.95 </w:t>
            </w:r>
          </w:p>
        </w:tc>
      </w:tr>
      <w:tr w:rsidR="006C0F11" w:rsidRPr="003B7F14" w14:paraId="4A6A301A"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6D5D300B" w14:textId="1AF4F389" w:rsidR="006C0F11" w:rsidRPr="000904A1" w:rsidRDefault="006C0F11" w:rsidP="006C0F11">
            <w:pPr>
              <w:pStyle w:val="Tablenormalleft"/>
              <w:keepNext w:val="0"/>
              <w:widowControl w:val="0"/>
              <w:jc w:val="left"/>
              <w:rPr>
                <w:color w:val="000000"/>
                <w:szCs w:val="18"/>
              </w:rPr>
            </w:pPr>
            <w:r w:rsidRPr="004A1CDB">
              <w:t>1506.00</w:t>
            </w:r>
          </w:p>
        </w:tc>
        <w:tc>
          <w:tcPr>
            <w:tcW w:w="3510" w:type="dxa"/>
            <w:tcBorders>
              <w:left w:val="none" w:sz="0" w:space="0" w:color="auto"/>
              <w:bottom w:val="single" w:sz="8" w:space="0" w:color="7BA0CD" w:themeColor="accent1" w:themeTint="BF"/>
              <w:right w:val="none" w:sz="0" w:space="0" w:color="auto"/>
            </w:tcBorders>
            <w:noWrap/>
            <w:vAlign w:val="center"/>
          </w:tcPr>
          <w:p w14:paraId="2B08FD66" w14:textId="7479CB3D"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615EFA">
              <w:t>Speech Communication</w:t>
            </w:r>
          </w:p>
        </w:tc>
        <w:tc>
          <w:tcPr>
            <w:tcW w:w="1170" w:type="dxa"/>
            <w:tcBorders>
              <w:left w:val="none" w:sz="0" w:space="0" w:color="auto"/>
              <w:bottom w:val="single" w:sz="8" w:space="0" w:color="7BA0CD" w:themeColor="accent1" w:themeTint="BF"/>
              <w:right w:val="none" w:sz="0" w:space="0" w:color="auto"/>
            </w:tcBorders>
            <w:noWrap/>
            <w:vAlign w:val="center"/>
          </w:tcPr>
          <w:p w14:paraId="12EDFF02" w14:textId="4BF7F2BD"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1</w:t>
            </w:r>
          </w:p>
        </w:tc>
        <w:tc>
          <w:tcPr>
            <w:tcW w:w="1260" w:type="dxa"/>
            <w:tcBorders>
              <w:left w:val="none" w:sz="0" w:space="0" w:color="auto"/>
              <w:bottom w:val="single" w:sz="8" w:space="0" w:color="7BA0CD" w:themeColor="accent1" w:themeTint="BF"/>
              <w:right w:val="none" w:sz="0" w:space="0" w:color="auto"/>
            </w:tcBorders>
            <w:vAlign w:val="center"/>
          </w:tcPr>
          <w:p w14:paraId="4F5CB81B" w14:textId="552AF2BC"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35</w:t>
            </w:r>
          </w:p>
        </w:tc>
        <w:tc>
          <w:tcPr>
            <w:tcW w:w="1260" w:type="dxa"/>
            <w:tcBorders>
              <w:left w:val="none" w:sz="0" w:space="0" w:color="auto"/>
              <w:bottom w:val="single" w:sz="8" w:space="0" w:color="7BA0CD" w:themeColor="accent1" w:themeTint="BF"/>
              <w:right w:val="none" w:sz="0" w:space="0" w:color="auto"/>
            </w:tcBorders>
            <w:noWrap/>
            <w:vAlign w:val="center"/>
          </w:tcPr>
          <w:p w14:paraId="330FCF7B" w14:textId="31A3F2DD"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7</w:t>
            </w:r>
          </w:p>
        </w:tc>
        <w:tc>
          <w:tcPr>
            <w:tcW w:w="900" w:type="dxa"/>
            <w:tcBorders>
              <w:left w:val="none" w:sz="0" w:space="0" w:color="auto"/>
              <w:bottom w:val="single" w:sz="8" w:space="0" w:color="7BA0CD" w:themeColor="accent1" w:themeTint="BF"/>
              <w:right w:val="none" w:sz="0" w:space="0" w:color="auto"/>
            </w:tcBorders>
            <w:vAlign w:val="center"/>
          </w:tcPr>
          <w:p w14:paraId="00977C33" w14:textId="5EEC37D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E05FBA">
              <w:t>(34)</w:t>
            </w:r>
          </w:p>
        </w:tc>
        <w:tc>
          <w:tcPr>
            <w:tcW w:w="900" w:type="dxa"/>
            <w:tcBorders>
              <w:left w:val="none" w:sz="0" w:space="0" w:color="auto"/>
              <w:bottom w:val="single" w:sz="8" w:space="0" w:color="7BA0CD" w:themeColor="accent1" w:themeTint="BF"/>
            </w:tcBorders>
            <w:noWrap/>
            <w:vAlign w:val="center"/>
          </w:tcPr>
          <w:p w14:paraId="4E847430" w14:textId="7A516569"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$20.74 </w:t>
            </w:r>
          </w:p>
        </w:tc>
      </w:tr>
      <w:tr w:rsidR="006C0F11" w:rsidRPr="003B7F14" w14:paraId="43C480F5"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66C43281" w14:textId="35146C01" w:rsidR="006C0F11" w:rsidRPr="000904A1" w:rsidRDefault="006C0F11" w:rsidP="006C0F11">
            <w:pPr>
              <w:pStyle w:val="Tablenormalleft"/>
              <w:keepNext w:val="0"/>
              <w:widowControl w:val="0"/>
              <w:jc w:val="left"/>
              <w:rPr>
                <w:color w:val="000000"/>
                <w:szCs w:val="18"/>
              </w:rPr>
            </w:pPr>
            <w:r w:rsidRPr="004A1CDB">
              <w:t>1230.20</w:t>
            </w:r>
          </w:p>
        </w:tc>
        <w:tc>
          <w:tcPr>
            <w:tcW w:w="3510" w:type="dxa"/>
            <w:tcBorders>
              <w:left w:val="none" w:sz="0" w:space="0" w:color="auto"/>
              <w:bottom w:val="single" w:sz="8" w:space="0" w:color="7BA0CD" w:themeColor="accent1" w:themeTint="BF"/>
              <w:right w:val="none" w:sz="0" w:space="0" w:color="auto"/>
            </w:tcBorders>
            <w:noWrap/>
            <w:vAlign w:val="center"/>
          </w:tcPr>
          <w:p w14:paraId="0FD26FA2" w14:textId="0EB27BE6"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615EFA">
              <w:t>Licensed Vocational Nursing</w:t>
            </w:r>
          </w:p>
        </w:tc>
        <w:tc>
          <w:tcPr>
            <w:tcW w:w="1170" w:type="dxa"/>
            <w:tcBorders>
              <w:left w:val="none" w:sz="0" w:space="0" w:color="auto"/>
              <w:bottom w:val="single" w:sz="8" w:space="0" w:color="7BA0CD" w:themeColor="accent1" w:themeTint="BF"/>
              <w:right w:val="none" w:sz="0" w:space="0" w:color="auto"/>
            </w:tcBorders>
            <w:noWrap/>
            <w:vAlign w:val="center"/>
          </w:tcPr>
          <w:p w14:paraId="17115B7E" w14:textId="34EBC114"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8</w:t>
            </w:r>
          </w:p>
        </w:tc>
        <w:tc>
          <w:tcPr>
            <w:tcW w:w="1260" w:type="dxa"/>
            <w:tcBorders>
              <w:left w:val="none" w:sz="0" w:space="0" w:color="auto"/>
              <w:bottom w:val="single" w:sz="8" w:space="0" w:color="7BA0CD" w:themeColor="accent1" w:themeTint="BF"/>
              <w:right w:val="none" w:sz="0" w:space="0" w:color="auto"/>
            </w:tcBorders>
            <w:vAlign w:val="center"/>
          </w:tcPr>
          <w:p w14:paraId="0FEFA8C0" w14:textId="649A503A"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43</w:t>
            </w:r>
          </w:p>
        </w:tc>
        <w:tc>
          <w:tcPr>
            <w:tcW w:w="1260" w:type="dxa"/>
            <w:tcBorders>
              <w:left w:val="none" w:sz="0" w:space="0" w:color="auto"/>
              <w:bottom w:val="single" w:sz="8" w:space="0" w:color="7BA0CD" w:themeColor="accent1" w:themeTint="BF"/>
              <w:right w:val="none" w:sz="0" w:space="0" w:color="auto"/>
            </w:tcBorders>
            <w:noWrap/>
            <w:vAlign w:val="center"/>
          </w:tcPr>
          <w:p w14:paraId="78297529" w14:textId="426963C5"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3</w:t>
            </w:r>
          </w:p>
        </w:tc>
        <w:tc>
          <w:tcPr>
            <w:tcW w:w="900" w:type="dxa"/>
            <w:tcBorders>
              <w:left w:val="none" w:sz="0" w:space="0" w:color="auto"/>
              <w:bottom w:val="single" w:sz="8" w:space="0" w:color="7BA0CD" w:themeColor="accent1" w:themeTint="BF"/>
              <w:right w:val="none" w:sz="0" w:space="0" w:color="auto"/>
            </w:tcBorders>
            <w:vAlign w:val="center"/>
          </w:tcPr>
          <w:p w14:paraId="69809490" w14:textId="11685CDD"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E05FBA">
              <w:t>(34)</w:t>
            </w:r>
          </w:p>
        </w:tc>
        <w:tc>
          <w:tcPr>
            <w:tcW w:w="900" w:type="dxa"/>
            <w:tcBorders>
              <w:left w:val="none" w:sz="0" w:space="0" w:color="auto"/>
              <w:bottom w:val="single" w:sz="8" w:space="0" w:color="7BA0CD" w:themeColor="accent1" w:themeTint="BF"/>
            </w:tcBorders>
            <w:noWrap/>
            <w:vAlign w:val="center"/>
          </w:tcPr>
          <w:p w14:paraId="04D03D18" w14:textId="252C76EF"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$22.84 </w:t>
            </w:r>
          </w:p>
        </w:tc>
      </w:tr>
      <w:tr w:rsidR="006C0F11" w:rsidRPr="003B7F14" w14:paraId="7B1C0104"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64941C88" w14:textId="32F118C9" w:rsidR="006C0F11" w:rsidRPr="000904A1" w:rsidRDefault="006C0F11" w:rsidP="006C0F11">
            <w:pPr>
              <w:pStyle w:val="Tablenormalleft"/>
              <w:keepNext w:val="0"/>
              <w:widowControl w:val="0"/>
              <w:jc w:val="left"/>
              <w:rPr>
                <w:color w:val="000000"/>
                <w:szCs w:val="18"/>
              </w:rPr>
            </w:pPr>
            <w:r w:rsidRPr="004A1CDB">
              <w:t>505.00</w:t>
            </w:r>
          </w:p>
        </w:tc>
        <w:tc>
          <w:tcPr>
            <w:tcW w:w="3510" w:type="dxa"/>
            <w:tcBorders>
              <w:left w:val="none" w:sz="0" w:space="0" w:color="auto"/>
              <w:bottom w:val="single" w:sz="8" w:space="0" w:color="7BA0CD" w:themeColor="accent1" w:themeTint="BF"/>
              <w:right w:val="none" w:sz="0" w:space="0" w:color="auto"/>
            </w:tcBorders>
            <w:noWrap/>
            <w:vAlign w:val="center"/>
          </w:tcPr>
          <w:p w14:paraId="21176BF8" w14:textId="653F4988" w:rsidR="006C0F11" w:rsidRPr="000904A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615EFA">
              <w:t>Business Administration</w:t>
            </w:r>
            <w:r w:rsidR="00AA69F5">
              <w:t xml:space="preserve"> (CIP 52.0201)</w:t>
            </w:r>
          </w:p>
        </w:tc>
        <w:tc>
          <w:tcPr>
            <w:tcW w:w="1170" w:type="dxa"/>
            <w:tcBorders>
              <w:left w:val="none" w:sz="0" w:space="0" w:color="auto"/>
              <w:bottom w:val="single" w:sz="8" w:space="0" w:color="7BA0CD" w:themeColor="accent1" w:themeTint="BF"/>
              <w:right w:val="none" w:sz="0" w:space="0" w:color="auto"/>
            </w:tcBorders>
            <w:noWrap/>
            <w:vAlign w:val="center"/>
          </w:tcPr>
          <w:p w14:paraId="1A95C56A" w14:textId="3DC6E517"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130</w:t>
            </w:r>
          </w:p>
        </w:tc>
        <w:tc>
          <w:tcPr>
            <w:tcW w:w="1260" w:type="dxa"/>
            <w:tcBorders>
              <w:left w:val="none" w:sz="0" w:space="0" w:color="auto"/>
              <w:bottom w:val="single" w:sz="8" w:space="0" w:color="7BA0CD" w:themeColor="accent1" w:themeTint="BF"/>
              <w:right w:val="none" w:sz="0" w:space="0" w:color="auto"/>
            </w:tcBorders>
            <w:vAlign w:val="center"/>
          </w:tcPr>
          <w:p w14:paraId="7EC32F72" w14:textId="0FE1691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173</w:t>
            </w:r>
          </w:p>
        </w:tc>
        <w:tc>
          <w:tcPr>
            <w:tcW w:w="1260" w:type="dxa"/>
            <w:tcBorders>
              <w:left w:val="none" w:sz="0" w:space="0" w:color="auto"/>
              <w:bottom w:val="single" w:sz="8" w:space="0" w:color="7BA0CD" w:themeColor="accent1" w:themeTint="BF"/>
              <w:right w:val="none" w:sz="0" w:space="0" w:color="auto"/>
            </w:tcBorders>
            <w:noWrap/>
            <w:vAlign w:val="center"/>
          </w:tcPr>
          <w:p w14:paraId="2100349B" w14:textId="661DF65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E05FBA">
              <w:t>23</w:t>
            </w:r>
          </w:p>
        </w:tc>
        <w:tc>
          <w:tcPr>
            <w:tcW w:w="900" w:type="dxa"/>
            <w:tcBorders>
              <w:left w:val="none" w:sz="0" w:space="0" w:color="auto"/>
              <w:bottom w:val="single" w:sz="8" w:space="0" w:color="7BA0CD" w:themeColor="accent1" w:themeTint="BF"/>
              <w:right w:val="none" w:sz="0" w:space="0" w:color="auto"/>
            </w:tcBorders>
            <w:vAlign w:val="center"/>
          </w:tcPr>
          <w:p w14:paraId="1FEEF275" w14:textId="7B9B76E0"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E05FBA">
              <w:t>(43)</w:t>
            </w:r>
          </w:p>
        </w:tc>
        <w:tc>
          <w:tcPr>
            <w:tcW w:w="900" w:type="dxa"/>
            <w:tcBorders>
              <w:left w:val="none" w:sz="0" w:space="0" w:color="auto"/>
              <w:bottom w:val="single" w:sz="8" w:space="0" w:color="7BA0CD" w:themeColor="accent1" w:themeTint="BF"/>
            </w:tcBorders>
            <w:noWrap/>
            <w:vAlign w:val="center"/>
          </w:tcPr>
          <w:p w14:paraId="2CD8254F" w14:textId="42904933" w:rsidR="006C0F11" w:rsidRPr="000904A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E05FBA">
              <w:t xml:space="preserve"> $34.71 </w:t>
            </w:r>
          </w:p>
        </w:tc>
      </w:tr>
      <w:tr w:rsidR="006C0F11" w:rsidRPr="003B7F14" w14:paraId="70EAFADC"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none" w:sz="0" w:space="0" w:color="auto"/>
            </w:tcBorders>
            <w:noWrap/>
            <w:vAlign w:val="center"/>
          </w:tcPr>
          <w:p w14:paraId="7C5FF4EE" w14:textId="3FF1415B" w:rsidR="006C0F11" w:rsidRPr="000904A1" w:rsidRDefault="006C0F11" w:rsidP="006C0F11">
            <w:pPr>
              <w:pStyle w:val="Tablenormalleft"/>
              <w:keepNext w:val="0"/>
              <w:widowControl w:val="0"/>
              <w:jc w:val="left"/>
              <w:rPr>
                <w:color w:val="000000"/>
                <w:szCs w:val="18"/>
              </w:rPr>
            </w:pPr>
            <w:r w:rsidRPr="004A1CDB">
              <w:t>1701.00</w:t>
            </w:r>
          </w:p>
        </w:tc>
        <w:tc>
          <w:tcPr>
            <w:tcW w:w="3510" w:type="dxa"/>
            <w:tcBorders>
              <w:left w:val="none" w:sz="0" w:space="0" w:color="auto"/>
              <w:bottom w:val="single" w:sz="8" w:space="0" w:color="7BA0CD" w:themeColor="accent1" w:themeTint="BF"/>
              <w:right w:val="none" w:sz="0" w:space="0" w:color="auto"/>
            </w:tcBorders>
            <w:noWrap/>
            <w:vAlign w:val="center"/>
          </w:tcPr>
          <w:p w14:paraId="08443FAE" w14:textId="03251A1C" w:rsidR="006C0F11" w:rsidRPr="000904A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615EFA">
              <w:t>Mathematics, General</w:t>
            </w:r>
          </w:p>
        </w:tc>
        <w:tc>
          <w:tcPr>
            <w:tcW w:w="1170" w:type="dxa"/>
            <w:tcBorders>
              <w:left w:val="none" w:sz="0" w:space="0" w:color="auto"/>
              <w:bottom w:val="single" w:sz="8" w:space="0" w:color="7BA0CD" w:themeColor="accent1" w:themeTint="BF"/>
              <w:right w:val="none" w:sz="0" w:space="0" w:color="auto"/>
            </w:tcBorders>
            <w:noWrap/>
            <w:vAlign w:val="center"/>
          </w:tcPr>
          <w:p w14:paraId="3D4BBB5F" w14:textId="3EF001FB"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0</w:t>
            </w:r>
          </w:p>
        </w:tc>
        <w:tc>
          <w:tcPr>
            <w:tcW w:w="1260" w:type="dxa"/>
            <w:tcBorders>
              <w:left w:val="none" w:sz="0" w:space="0" w:color="auto"/>
              <w:bottom w:val="single" w:sz="8" w:space="0" w:color="7BA0CD" w:themeColor="accent1" w:themeTint="BF"/>
              <w:right w:val="none" w:sz="0" w:space="0" w:color="auto"/>
            </w:tcBorders>
            <w:vAlign w:val="center"/>
          </w:tcPr>
          <w:p w14:paraId="1D5FF817" w14:textId="546B99A7"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61</w:t>
            </w:r>
          </w:p>
        </w:tc>
        <w:tc>
          <w:tcPr>
            <w:tcW w:w="1260" w:type="dxa"/>
            <w:tcBorders>
              <w:left w:val="none" w:sz="0" w:space="0" w:color="auto"/>
              <w:bottom w:val="single" w:sz="8" w:space="0" w:color="7BA0CD" w:themeColor="accent1" w:themeTint="BF"/>
              <w:right w:val="none" w:sz="0" w:space="0" w:color="auto"/>
            </w:tcBorders>
            <w:noWrap/>
            <w:vAlign w:val="center"/>
          </w:tcPr>
          <w:p w14:paraId="05BD5643" w14:textId="77816329"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E05FBA">
              <w:t>22</w:t>
            </w:r>
          </w:p>
        </w:tc>
        <w:tc>
          <w:tcPr>
            <w:tcW w:w="900" w:type="dxa"/>
            <w:tcBorders>
              <w:left w:val="none" w:sz="0" w:space="0" w:color="auto"/>
              <w:bottom w:val="single" w:sz="8" w:space="0" w:color="7BA0CD" w:themeColor="accent1" w:themeTint="BF"/>
              <w:right w:val="none" w:sz="0" w:space="0" w:color="auto"/>
            </w:tcBorders>
            <w:vAlign w:val="center"/>
          </w:tcPr>
          <w:p w14:paraId="4BA2FBE4" w14:textId="009B17F9"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E05FBA">
              <w:t>(61)</w:t>
            </w:r>
          </w:p>
        </w:tc>
        <w:tc>
          <w:tcPr>
            <w:tcW w:w="900" w:type="dxa"/>
            <w:tcBorders>
              <w:left w:val="none" w:sz="0" w:space="0" w:color="auto"/>
              <w:bottom w:val="single" w:sz="8" w:space="0" w:color="7BA0CD" w:themeColor="accent1" w:themeTint="BF"/>
            </w:tcBorders>
            <w:noWrap/>
            <w:vAlign w:val="center"/>
          </w:tcPr>
          <w:p w14:paraId="46A63278" w14:textId="0BA1E798" w:rsidR="006C0F11" w:rsidRPr="000904A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E05FBA">
              <w:t xml:space="preserve"> $40.64 </w:t>
            </w:r>
          </w:p>
        </w:tc>
      </w:tr>
      <w:tr w:rsidR="006C0F11" w:rsidRPr="003B7F14" w14:paraId="6195D57C"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114DED75" w14:textId="2F5DC3BB" w:rsidR="006C0F11" w:rsidRPr="00960941" w:rsidRDefault="006C0F11" w:rsidP="006C0F11">
            <w:pPr>
              <w:pStyle w:val="Tablenormalleft"/>
              <w:keepNext w:val="0"/>
              <w:widowControl w:val="0"/>
              <w:jc w:val="left"/>
            </w:pPr>
            <w:r w:rsidRPr="004A1CDB">
              <w:t>1240.20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59B51C1" w14:textId="363DFA19" w:rsidR="006C0F11" w:rsidRPr="0096094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615EFA">
              <w:t>Dental Hygienist</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29C586A" w14:textId="40E3CBE7"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2</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2F8CBBA" w14:textId="193C1FA3"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63</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DAC63A8" w14:textId="513E6F28"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3</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1977E9A4" w14:textId="733787EF"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(61)</w:t>
            </w:r>
          </w:p>
        </w:tc>
        <w:tc>
          <w:tcPr>
            <w:tcW w:w="900" w:type="dxa"/>
            <w:tcBorders>
              <w:left w:val="single" w:sz="8" w:space="0" w:color="7BA0CD" w:themeColor="accent1" w:themeTint="BF"/>
              <w:bottom w:val="single" w:sz="8" w:space="0" w:color="7BA0CD" w:themeColor="accent1" w:themeTint="BF"/>
            </w:tcBorders>
            <w:noWrap/>
            <w:vAlign w:val="center"/>
          </w:tcPr>
          <w:p w14:paraId="284B089A" w14:textId="695E86ED"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 xml:space="preserve"> $39.81 </w:t>
            </w:r>
          </w:p>
        </w:tc>
      </w:tr>
      <w:tr w:rsidR="006C0F11" w:rsidRPr="003B7F14" w14:paraId="52FB042C"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02181885" w14:textId="7181924A" w:rsidR="006C0F11" w:rsidRPr="00960941" w:rsidRDefault="006C0F11" w:rsidP="006C0F11">
            <w:pPr>
              <w:pStyle w:val="Tablenormalleft"/>
              <w:keepNext w:val="0"/>
              <w:widowControl w:val="0"/>
              <w:jc w:val="left"/>
            </w:pPr>
            <w:r w:rsidRPr="004A1CDB">
              <w:t>1305.00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17147CF" w14:textId="303452B3" w:rsidR="006C0F11" w:rsidRPr="0096094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615EFA">
              <w:t>Child Development/Early Care and Education</w:t>
            </w:r>
            <w:r w:rsidR="00AA69F5">
              <w:t xml:space="preserve"> (CIP 19.0709)</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1DCBCF5" w14:textId="29E08EE7"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22</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C49CB9C" w14:textId="1EF06E6D"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105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614F9E3" w14:textId="2172B323"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1</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DC3479E" w14:textId="1C389641"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(83)</w:t>
            </w:r>
          </w:p>
        </w:tc>
        <w:tc>
          <w:tcPr>
            <w:tcW w:w="900" w:type="dxa"/>
            <w:tcBorders>
              <w:left w:val="single" w:sz="8" w:space="0" w:color="7BA0CD" w:themeColor="accent1" w:themeTint="BF"/>
              <w:bottom w:val="single" w:sz="8" w:space="0" w:color="7BA0CD" w:themeColor="accent1" w:themeTint="BF"/>
            </w:tcBorders>
            <w:noWrap/>
            <w:vAlign w:val="center"/>
          </w:tcPr>
          <w:p w14:paraId="179F3D2F" w14:textId="237ED09F"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 xml:space="preserve"> $8.05 </w:t>
            </w:r>
          </w:p>
        </w:tc>
      </w:tr>
      <w:tr w:rsidR="006C0F11" w:rsidRPr="003B7F14" w14:paraId="23D97475"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31BB8927" w14:textId="37760C24" w:rsidR="006C0F11" w:rsidRPr="00960941" w:rsidRDefault="006C0F11" w:rsidP="006C0F11">
            <w:pPr>
              <w:pStyle w:val="Tablenormalleft"/>
              <w:keepNext w:val="0"/>
              <w:widowControl w:val="0"/>
              <w:jc w:val="left"/>
            </w:pPr>
            <w:r w:rsidRPr="004A1CDB">
              <w:t>2105.00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2897669" w14:textId="2DBC20D8" w:rsidR="006C0F11" w:rsidRPr="0096094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615EFA">
              <w:t>Administration of Justice</w:t>
            </w:r>
            <w:r w:rsidR="00AA69F5">
              <w:t xml:space="preserve"> (CIP 43.0103)</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E905A6E" w14:textId="1201EB46"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2EA2853" w14:textId="48DBD083"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121</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C19B405" w14:textId="73866152"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6</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611C02AD" w14:textId="7E5A4461"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(116)</w:t>
            </w:r>
          </w:p>
        </w:tc>
        <w:tc>
          <w:tcPr>
            <w:tcW w:w="900" w:type="dxa"/>
            <w:tcBorders>
              <w:left w:val="single" w:sz="8" w:space="0" w:color="7BA0CD" w:themeColor="accent1" w:themeTint="BF"/>
              <w:bottom w:val="single" w:sz="8" w:space="0" w:color="7BA0CD" w:themeColor="accent1" w:themeTint="BF"/>
            </w:tcBorders>
            <w:noWrap/>
            <w:vAlign w:val="center"/>
          </w:tcPr>
          <w:p w14:paraId="0A9F7F0B" w14:textId="1CAAEAB4"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 xml:space="preserve"> $72.95 </w:t>
            </w:r>
          </w:p>
        </w:tc>
      </w:tr>
      <w:tr w:rsidR="006C0F11" w:rsidRPr="003B7F14" w14:paraId="6DE2295D"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39151828" w14:textId="4DBDCD77" w:rsidR="006C0F11" w:rsidRPr="00960941" w:rsidRDefault="006C0F11" w:rsidP="006C0F11">
            <w:pPr>
              <w:pStyle w:val="Tablenormalleft"/>
              <w:keepNext w:val="0"/>
              <w:widowControl w:val="0"/>
              <w:jc w:val="left"/>
            </w:pPr>
            <w:r w:rsidRPr="004A1CDB">
              <w:t>2001.00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94C7CE3" w14:textId="647A6F81" w:rsidR="006C0F11" w:rsidRPr="0096094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615EFA">
              <w:t>Psychology, General</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65FFFD0" w14:textId="2543D31B"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BE57EE5" w14:textId="2ECB2D7A"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117</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E41D0BD" w14:textId="63A3D748"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10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5DF1A951" w14:textId="1367BFA0"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(117)</w:t>
            </w:r>
          </w:p>
        </w:tc>
        <w:tc>
          <w:tcPr>
            <w:tcW w:w="900" w:type="dxa"/>
            <w:tcBorders>
              <w:left w:val="single" w:sz="8" w:space="0" w:color="7BA0CD" w:themeColor="accent1" w:themeTint="BF"/>
              <w:bottom w:val="single" w:sz="8" w:space="0" w:color="7BA0CD" w:themeColor="accent1" w:themeTint="BF"/>
            </w:tcBorders>
            <w:noWrap/>
            <w:vAlign w:val="center"/>
          </w:tcPr>
          <w:p w14:paraId="1AF96D48" w14:textId="3FD047C8"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 xml:space="preserve"> $41.21 </w:t>
            </w:r>
          </w:p>
        </w:tc>
      </w:tr>
      <w:tr w:rsidR="006C0F11" w:rsidRPr="003B7F14" w14:paraId="1AA707E3"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135E19C4" w14:textId="1EE1BF7C" w:rsidR="006C0F11" w:rsidRPr="00960941" w:rsidRDefault="006C0F11" w:rsidP="006C0F11">
            <w:pPr>
              <w:pStyle w:val="Tablenormalleft"/>
              <w:keepNext w:val="0"/>
              <w:widowControl w:val="0"/>
              <w:jc w:val="left"/>
            </w:pPr>
            <w:r w:rsidRPr="004A1CDB">
              <w:t>2105.00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C0F40A2" w14:textId="47532559" w:rsidR="006C0F11" w:rsidRPr="0096094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615EFA">
              <w:t>Administration of Justice</w:t>
            </w:r>
            <w:r w:rsidR="00AA69F5">
              <w:t xml:space="preserve"> (CIP 43.0104)</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02F44D2" w14:textId="29E4644E"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4</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06FE816" w14:textId="34896291"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125</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60274585" w14:textId="607956CF"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7</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5DA2DBA1" w14:textId="7DF156BD"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(121)</w:t>
            </w:r>
          </w:p>
        </w:tc>
        <w:tc>
          <w:tcPr>
            <w:tcW w:w="900" w:type="dxa"/>
            <w:tcBorders>
              <w:left w:val="single" w:sz="8" w:space="0" w:color="7BA0CD" w:themeColor="accent1" w:themeTint="BF"/>
              <w:bottom w:val="single" w:sz="8" w:space="0" w:color="7BA0CD" w:themeColor="accent1" w:themeTint="BF"/>
            </w:tcBorders>
            <w:noWrap/>
            <w:vAlign w:val="center"/>
          </w:tcPr>
          <w:p w14:paraId="4BD08C66" w14:textId="5129C48E"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 xml:space="preserve"> $72.95 </w:t>
            </w:r>
          </w:p>
        </w:tc>
      </w:tr>
      <w:tr w:rsidR="006C0F11" w:rsidRPr="003B7F14" w14:paraId="7C8C95BD"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5C4B192F" w14:textId="046765BE" w:rsidR="006C0F11" w:rsidRPr="00960941" w:rsidRDefault="006C0F11" w:rsidP="006C0F11">
            <w:pPr>
              <w:pStyle w:val="Tablenormalleft"/>
              <w:keepNext w:val="0"/>
              <w:widowControl w:val="0"/>
              <w:jc w:val="left"/>
            </w:pPr>
            <w:r w:rsidRPr="004A1CDB">
              <w:t>401.00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81213D7" w14:textId="4FB2F608" w:rsidR="006C0F11" w:rsidRPr="0096094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615EFA">
              <w:t>Biology, General</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788FEAEE" w14:textId="55240E88"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434A5C5" w14:textId="52136714"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163</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2C85367" w14:textId="6969194B"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88</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A347248" w14:textId="0D613E0C"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(163)</w:t>
            </w:r>
          </w:p>
        </w:tc>
        <w:tc>
          <w:tcPr>
            <w:tcW w:w="900" w:type="dxa"/>
            <w:tcBorders>
              <w:left w:val="single" w:sz="8" w:space="0" w:color="7BA0CD" w:themeColor="accent1" w:themeTint="BF"/>
              <w:bottom w:val="single" w:sz="8" w:space="0" w:color="7BA0CD" w:themeColor="accent1" w:themeTint="BF"/>
            </w:tcBorders>
            <w:noWrap/>
            <w:vAlign w:val="center"/>
          </w:tcPr>
          <w:p w14:paraId="59110228" w14:textId="271C9561"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 xml:space="preserve"> $32.45 </w:t>
            </w:r>
          </w:p>
        </w:tc>
      </w:tr>
      <w:tr w:rsidR="006C0F11" w:rsidRPr="003B7F14" w14:paraId="49753F46"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05631F3B" w14:textId="3D25549C" w:rsidR="006C0F11" w:rsidRPr="00960941" w:rsidRDefault="006C0F11" w:rsidP="006C0F11">
            <w:pPr>
              <w:pStyle w:val="Tablenormalleft"/>
              <w:keepNext w:val="0"/>
              <w:widowControl w:val="0"/>
              <w:jc w:val="left"/>
            </w:pPr>
            <w:r w:rsidRPr="004A1CDB">
              <w:t>2105.00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46B1D361" w14:textId="46B9967B" w:rsidR="006C0F11" w:rsidRPr="0096094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615EFA">
              <w:t>Administration of Justice</w:t>
            </w:r>
            <w:r w:rsidR="003C4A7C">
              <w:t xml:space="preserve"> (CIP 43.0107)</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F070BE0" w14:textId="7A97B971"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24</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C5F6FD6" w14:textId="2FDB3DBE"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200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345227F4" w14:textId="0E043966"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3</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4ED392DB" w14:textId="4438C7A3"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(176)</w:t>
            </w:r>
          </w:p>
        </w:tc>
        <w:tc>
          <w:tcPr>
            <w:tcW w:w="900" w:type="dxa"/>
            <w:tcBorders>
              <w:left w:val="single" w:sz="8" w:space="0" w:color="7BA0CD" w:themeColor="accent1" w:themeTint="BF"/>
              <w:bottom w:val="single" w:sz="8" w:space="0" w:color="7BA0CD" w:themeColor="accent1" w:themeTint="BF"/>
            </w:tcBorders>
            <w:noWrap/>
            <w:vAlign w:val="center"/>
          </w:tcPr>
          <w:p w14:paraId="25B5C5E2" w14:textId="72D42994"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 xml:space="preserve"> $32.10 </w:t>
            </w:r>
          </w:p>
        </w:tc>
      </w:tr>
      <w:tr w:rsidR="006C0F11" w:rsidRPr="003B7F14" w14:paraId="4160074C" w14:textId="77777777" w:rsidTr="003C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5A523012" w14:textId="14B15F58" w:rsidR="006C0F11" w:rsidRPr="00960941" w:rsidRDefault="006C0F11" w:rsidP="006C0F11">
            <w:pPr>
              <w:pStyle w:val="Tablenormalleft"/>
              <w:keepNext w:val="0"/>
              <w:widowControl w:val="0"/>
              <w:jc w:val="left"/>
            </w:pPr>
            <w:r w:rsidRPr="004A1CDB">
              <w:t>2201.00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E0B0107" w14:textId="3A62421B" w:rsidR="006C0F11" w:rsidRPr="00960941" w:rsidRDefault="006C0F11" w:rsidP="006C0F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615EFA">
              <w:t>Social Sciences, General</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7331EE5" w14:textId="0D61953B"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1</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6F34F741" w14:textId="5E7C6007"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246</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5DFE5E11" w14:textId="23B099CF"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40</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26B89C5" w14:textId="05DBAD2D"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(244)</w:t>
            </w:r>
          </w:p>
        </w:tc>
        <w:tc>
          <w:tcPr>
            <w:tcW w:w="900" w:type="dxa"/>
            <w:tcBorders>
              <w:left w:val="single" w:sz="8" w:space="0" w:color="7BA0CD" w:themeColor="accent1" w:themeTint="BF"/>
              <w:bottom w:val="single" w:sz="8" w:space="0" w:color="7BA0CD" w:themeColor="accent1" w:themeTint="BF"/>
            </w:tcBorders>
            <w:noWrap/>
            <w:vAlign w:val="center"/>
          </w:tcPr>
          <w:p w14:paraId="72910B01" w14:textId="317AF834" w:rsidR="006C0F11" w:rsidRPr="00960941" w:rsidRDefault="006C0F11" w:rsidP="006C0F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E05FBA">
              <w:t xml:space="preserve"> $25.96 </w:t>
            </w:r>
          </w:p>
        </w:tc>
      </w:tr>
      <w:tr w:rsidR="006C0F11" w:rsidRPr="003B7F14" w14:paraId="5908E100" w14:textId="77777777" w:rsidTr="003C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7BA0CD" w:themeColor="accent1" w:themeTint="BF"/>
              <w:right w:val="single" w:sz="8" w:space="0" w:color="7BA0CD" w:themeColor="accent1" w:themeTint="BF"/>
            </w:tcBorders>
            <w:noWrap/>
            <w:vAlign w:val="center"/>
          </w:tcPr>
          <w:p w14:paraId="61704D0E" w14:textId="5ED492A1" w:rsidR="006C0F11" w:rsidRPr="00960941" w:rsidRDefault="006C0F11" w:rsidP="006C0F11">
            <w:pPr>
              <w:pStyle w:val="Tablenormalleft"/>
              <w:keepNext w:val="0"/>
              <w:widowControl w:val="0"/>
              <w:jc w:val="left"/>
            </w:pPr>
            <w:r w:rsidRPr="004A1CDB">
              <w:t>1230.00</w:t>
            </w:r>
          </w:p>
        </w:tc>
        <w:tc>
          <w:tcPr>
            <w:tcW w:w="351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2C48EB41" w14:textId="11BF39A3" w:rsidR="006C0F11" w:rsidRPr="00960941" w:rsidRDefault="006C0F11" w:rsidP="006C0F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615EFA">
              <w:t>Nursing</w:t>
            </w:r>
          </w:p>
        </w:tc>
        <w:tc>
          <w:tcPr>
            <w:tcW w:w="117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0475D5F0" w14:textId="288ED2AF"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110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379D09F1" w14:textId="3711F972"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621</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vAlign w:val="center"/>
          </w:tcPr>
          <w:p w14:paraId="1E932D68" w14:textId="2FA6E02F"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7</w:t>
            </w:r>
          </w:p>
        </w:tc>
        <w:tc>
          <w:tcPr>
            <w:tcW w:w="900"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0F41B3DE" w14:textId="1F437DBD"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(511)</w:t>
            </w:r>
          </w:p>
        </w:tc>
        <w:tc>
          <w:tcPr>
            <w:tcW w:w="900" w:type="dxa"/>
            <w:tcBorders>
              <w:left w:val="single" w:sz="8" w:space="0" w:color="7BA0CD" w:themeColor="accent1" w:themeTint="BF"/>
              <w:bottom w:val="single" w:sz="8" w:space="0" w:color="7BA0CD" w:themeColor="accent1" w:themeTint="BF"/>
            </w:tcBorders>
            <w:noWrap/>
            <w:vAlign w:val="center"/>
          </w:tcPr>
          <w:p w14:paraId="669E1141" w14:textId="349BC6F0" w:rsidR="006C0F11" w:rsidRPr="00960941" w:rsidRDefault="006C0F11" w:rsidP="006C0F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E05FBA">
              <w:t xml:space="preserve"> $37.13 </w:t>
            </w:r>
          </w:p>
        </w:tc>
      </w:tr>
      <w:tr w:rsidR="00FA29A0" w:rsidRPr="003B7F14" w14:paraId="239AFE47" w14:textId="77777777" w:rsidTr="003C4A7C">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9918" w:type="dxa"/>
            <w:gridSpan w:val="7"/>
            <w:tcBorders>
              <w:top w:val="single" w:sz="8" w:space="0" w:color="7BA0CD" w:themeColor="accent1" w:themeTint="BF"/>
              <w:left w:val="nil"/>
              <w:bottom w:val="nil"/>
              <w:right w:val="nil"/>
            </w:tcBorders>
            <w:shd w:val="clear" w:color="auto" w:fill="auto"/>
          </w:tcPr>
          <w:p w14:paraId="67BE27EE" w14:textId="7104F27D" w:rsidR="00FA29A0" w:rsidRPr="00364AE2" w:rsidRDefault="00FA29A0" w:rsidP="003C4A7C">
            <w:pPr>
              <w:pStyle w:val="Tablefooterlastline"/>
              <w:spacing w:before="0" w:after="0"/>
            </w:pPr>
            <w:r w:rsidRPr="00364AE2">
              <w:t>Sou</w:t>
            </w:r>
            <w:r w:rsidR="006C38C7">
              <w:t>CCC</w:t>
            </w:r>
            <w:r w:rsidRPr="00364AE2">
              <w:t>e: EMSI Gap Analysis Model</w:t>
            </w:r>
          </w:p>
          <w:p w14:paraId="050ECB54" w14:textId="77777777" w:rsidR="00FA29A0" w:rsidRPr="00394493" w:rsidRDefault="00FA29A0" w:rsidP="003C4A7C">
            <w:pPr>
              <w:spacing w:before="0" w:after="0"/>
              <w:rPr>
                <w:rFonts w:asciiTheme="minorHAnsi" w:hAnsiTheme="minorHAnsi"/>
                <w:b/>
                <w:i/>
                <w:color w:val="FF0000"/>
                <w:sz w:val="18"/>
                <w:szCs w:val="18"/>
              </w:rPr>
            </w:pPr>
            <w:r w:rsidRPr="00364AE2">
              <w:rPr>
                <w:rFonts w:ascii="Arial" w:hAnsi="Arial" w:cs="Arial"/>
                <w:sz w:val="16"/>
                <w:szCs w:val="22"/>
              </w:rPr>
              <w:t xml:space="preserve">Numbers may not sum due to rounding </w:t>
            </w:r>
          </w:p>
        </w:tc>
      </w:tr>
    </w:tbl>
    <w:p w14:paraId="71786D1A" w14:textId="63F41AF9" w:rsidR="00641562" w:rsidRDefault="00641562" w:rsidP="003C4A7C">
      <w:pPr>
        <w:pStyle w:val="Heading2"/>
      </w:pPr>
      <w:bookmarkStart w:id="22" w:name="_Toc428785418"/>
      <w:bookmarkStart w:id="23" w:name="_Toc333477517"/>
      <w:r>
        <w:t>Transfer Track (Liberal Arts) Students</w:t>
      </w:r>
      <w:bookmarkEnd w:id="22"/>
    </w:p>
    <w:p w14:paraId="33FE6D31" w14:textId="19C8EE83" w:rsidR="00641562" w:rsidRDefault="00641562" w:rsidP="00641562">
      <w:r>
        <w:t xml:space="preserve">A number of students attend </w:t>
      </w:r>
      <w:r w:rsidR="006C38C7">
        <w:t>CCC</w:t>
      </w:r>
      <w:r>
        <w:t xml:space="preserve"> with the intention of transferring to a four-year school to receive a bachelor’s degree. Though these students study any number of topics, a large number of them receive associate of arts degrees in liberal arts. Over the past three years, an</w:t>
      </w:r>
      <w:r w:rsidRPr="005A751C">
        <w:t xml:space="preserve"> average of </w:t>
      </w:r>
      <w:r w:rsidR="009715AA">
        <w:t>168</w:t>
      </w:r>
      <w:r w:rsidRPr="005A751C">
        <w:t xml:space="preserve"> students have </w:t>
      </w:r>
      <w:r w:rsidRPr="005A751C">
        <w:lastRenderedPageBreak/>
        <w:t>comp</w:t>
      </w:r>
      <w:r w:rsidR="00C807EB">
        <w:t>l</w:t>
      </w:r>
      <w:r>
        <w:t xml:space="preserve">eted </w:t>
      </w:r>
      <w:r w:rsidR="00C61914">
        <w:t>liberal arts</w:t>
      </w:r>
      <w:r w:rsidR="004F01A7">
        <w:t>, pre-engineering,</w:t>
      </w:r>
      <w:r w:rsidR="00B257E1">
        <w:t xml:space="preserve"> </w:t>
      </w:r>
      <w:r w:rsidR="00D41932">
        <w:t xml:space="preserve">or </w:t>
      </w:r>
      <w:r w:rsidR="007B5C50">
        <w:t xml:space="preserve">humanities </w:t>
      </w:r>
      <w:r w:rsidR="004F01A7">
        <w:t>degre</w:t>
      </w:r>
      <w:r w:rsidR="007B5C50">
        <w:t>es</w:t>
      </w:r>
      <w:r w:rsidR="00B257E1">
        <w:t xml:space="preserve"> at the associate’s degree level</w:t>
      </w:r>
      <w:r>
        <w:t xml:space="preserve">, which composes </w:t>
      </w:r>
      <w:r w:rsidR="009715AA">
        <w:t>13</w:t>
      </w:r>
      <w:r>
        <w:t xml:space="preserve">% of the college’s </w:t>
      </w:r>
      <w:r w:rsidRPr="005A751C">
        <w:t xml:space="preserve">annual production of certificates and degrees. </w:t>
      </w:r>
    </w:p>
    <w:p w14:paraId="42AFB61C" w14:textId="6ECA8FF8" w:rsidR="00641562" w:rsidRPr="005A751C" w:rsidRDefault="00641562" w:rsidP="00641562">
      <w:r>
        <w:t xml:space="preserve">Once these students leave </w:t>
      </w:r>
      <w:r w:rsidR="006C38C7">
        <w:t>CCC</w:t>
      </w:r>
      <w:r>
        <w:t xml:space="preserve">, their educational and career track is difficult to predict. They could attend a four-year college in the region or outside the region, and they could study any number of different programs that will ultimately determine their </w:t>
      </w:r>
      <w:r w:rsidRPr="00000D9C">
        <w:t>future</w:t>
      </w:r>
      <w:r>
        <w:t xml:space="preserve"> career. What can be shown is that over the next 10 years, jobs that require a bachelor’s degree are projected to be in high demand. In any given year between </w:t>
      </w:r>
      <w:r w:rsidR="008B0385">
        <w:t>2014</w:t>
      </w:r>
      <w:r w:rsidR="00C807EB">
        <w:t xml:space="preserve"> and </w:t>
      </w:r>
      <w:r w:rsidR="008B0385">
        <w:t>2024</w:t>
      </w:r>
      <w:r>
        <w:t xml:space="preserve">, </w:t>
      </w:r>
      <w:r w:rsidR="007B5C50">
        <w:t>4,968</w:t>
      </w:r>
      <w:r w:rsidRPr="00FA1941">
        <w:t xml:space="preserve"> jobs</w:t>
      </w:r>
      <w:r>
        <w:t xml:space="preserve"> will require a bachelor’s degree and </w:t>
      </w:r>
      <w:r w:rsidR="007B5C50">
        <w:t>24,090</w:t>
      </w:r>
      <w:r>
        <w:t xml:space="preserve"> will require a bachelor’s degree or less, availing these students of </w:t>
      </w:r>
      <w:r w:rsidR="001A618C">
        <w:t>92</w:t>
      </w:r>
      <w:r>
        <w:t xml:space="preserve">% of all regional job openings. </w:t>
      </w:r>
    </w:p>
    <w:p w14:paraId="69EA2AAF" w14:textId="77777777" w:rsidR="00641562" w:rsidRPr="00A50866" w:rsidRDefault="00641562" w:rsidP="003C4A7C">
      <w:pPr>
        <w:pStyle w:val="Heading2"/>
      </w:pPr>
      <w:bookmarkStart w:id="24" w:name="_Toc428785419"/>
      <w:r w:rsidRPr="00A50866">
        <w:t>Potential New Programs</w:t>
      </w:r>
      <w:bookmarkEnd w:id="24"/>
    </w:p>
    <w:p w14:paraId="57746599" w14:textId="364CC931" w:rsidR="00641562" w:rsidRPr="00A50866" w:rsidRDefault="00641562" w:rsidP="00641562">
      <w:r w:rsidRPr="00A50866">
        <w:t xml:space="preserve">In addition to knowing how well </w:t>
      </w:r>
      <w:r w:rsidR="006C38C7">
        <w:t>CCC</w:t>
      </w:r>
      <w:r w:rsidRPr="00A50866">
        <w:t>’s current educational programs are serving the local labor market, it is helpful to know the fields of opportunity where the college could create new program offerin</w:t>
      </w:r>
      <w:r>
        <w:t>gs. Table</w:t>
      </w:r>
      <w:r w:rsidR="005F4E2C">
        <w:t xml:space="preserve"> 2.</w:t>
      </w:r>
      <w:r w:rsidRPr="00A50866">
        <w:t>3 contain</w:t>
      </w:r>
      <w:r>
        <w:t>s</w:t>
      </w:r>
      <w:r w:rsidRPr="00A50866">
        <w:t xml:space="preserve"> a </w:t>
      </w:r>
      <w:r w:rsidR="00E75130">
        <w:t>l</w:t>
      </w:r>
      <w:r w:rsidRPr="00A50866">
        <w:t xml:space="preserve">ist of </w:t>
      </w:r>
      <w:r w:rsidR="002A1559">
        <w:t>2</w:t>
      </w:r>
      <w:r w:rsidR="009715AA">
        <w:t>1</w:t>
      </w:r>
      <w:r w:rsidR="0047285A">
        <w:t xml:space="preserve"> </w:t>
      </w:r>
      <w:r>
        <w:t>programmatic areas of opportunity</w:t>
      </w:r>
      <w:r w:rsidR="00FB70F1">
        <w:t xml:space="preserve"> </w:t>
      </w:r>
      <w:r w:rsidRPr="00A50866">
        <w:t>that could fill gaps in the labor market by postsecondary vocational certificates</w:t>
      </w:r>
      <w:r w:rsidR="00621080">
        <w:t xml:space="preserve"> and</w:t>
      </w:r>
      <w:r w:rsidR="00E75130">
        <w:t xml:space="preserve"> </w:t>
      </w:r>
      <w:r w:rsidRPr="00A50866">
        <w:t>associate’s degree</w:t>
      </w:r>
      <w:r w:rsidR="00B22888">
        <w:t>s</w:t>
      </w:r>
      <w:r w:rsidR="00E75130">
        <w:t>.</w:t>
      </w:r>
      <w:r w:rsidRPr="00A50866">
        <w:t xml:space="preserve"> These selected </w:t>
      </w:r>
      <w:r>
        <w:t>occupations present unmet annual openings by completions within the region.</w:t>
      </w:r>
      <w:r w:rsidRPr="00A50866">
        <w:t xml:space="preserve"> </w:t>
      </w:r>
      <w:r>
        <w:t>Please note that these tables highlight particular occupations, and in many cases a program can be designed to train for multiple occupations. Once these occupations are grouped with other similar occupations</w:t>
      </w:r>
      <w:r w:rsidR="009A1CCB">
        <w:t>,</w:t>
      </w:r>
      <w:r>
        <w:t xml:space="preserve"> the actual </w:t>
      </w:r>
      <w:r w:rsidR="006C38C7">
        <w:t>workforce</w:t>
      </w:r>
      <w:r>
        <w:t xml:space="preserve"> gap may be larger. Therefore, several programs with relatively small gaps are included. The median hourly earnings for workers in the </w:t>
      </w:r>
      <w:r w:rsidR="00B101E7">
        <w:t>Economic Region</w:t>
      </w:r>
      <w:r w:rsidR="003D416F">
        <w:t xml:space="preserve"> </w:t>
      </w:r>
      <w:r>
        <w:t xml:space="preserve">are included in the </w:t>
      </w:r>
      <w:r w:rsidR="009A1CCB">
        <w:t>T</w:t>
      </w:r>
      <w:r>
        <w:t>able</w:t>
      </w:r>
      <w:r w:rsidR="009A1CCB">
        <w:t xml:space="preserve"> 2.3</w:t>
      </w:r>
      <w:r>
        <w:t>.</w:t>
      </w:r>
      <w:r w:rsidR="0051331C" w:rsidRPr="0051331C">
        <w:t xml:space="preserve"> The education level </w:t>
      </w:r>
      <w:r w:rsidR="009A1CCB">
        <w:t xml:space="preserve">at which </w:t>
      </w:r>
      <w:r w:rsidR="0051331C" w:rsidRPr="0051331C">
        <w:t>the analysis was performed is listed for each occupation.</w:t>
      </w:r>
    </w:p>
    <w:p w14:paraId="27BF9CB8" w14:textId="0F10C953" w:rsidR="004A4850" w:rsidRDefault="00CE7D95" w:rsidP="00641562">
      <w:pPr>
        <w:rPr>
          <w:szCs w:val="22"/>
        </w:rPr>
      </w:pPr>
      <w:r w:rsidRPr="00CE7D95">
        <w:rPr>
          <w:szCs w:val="22"/>
        </w:rPr>
        <w:t xml:space="preserve">There are </w:t>
      </w:r>
      <w:r w:rsidR="00EB30D4">
        <w:rPr>
          <w:szCs w:val="22"/>
        </w:rPr>
        <w:t>17</w:t>
      </w:r>
      <w:r w:rsidR="0051331C" w:rsidRPr="00CE7D95">
        <w:rPr>
          <w:szCs w:val="22"/>
        </w:rPr>
        <w:t xml:space="preserve"> postsecondary certificate level areas of opportunity listed in </w:t>
      </w:r>
      <w:r w:rsidR="009A1CCB">
        <w:rPr>
          <w:szCs w:val="22"/>
        </w:rPr>
        <w:t>T</w:t>
      </w:r>
      <w:r w:rsidR="0051331C" w:rsidRPr="00CE7D95">
        <w:rPr>
          <w:szCs w:val="22"/>
        </w:rPr>
        <w:t>able</w:t>
      </w:r>
      <w:r w:rsidR="009A1CCB">
        <w:rPr>
          <w:szCs w:val="22"/>
        </w:rPr>
        <w:t xml:space="preserve"> 2.3</w:t>
      </w:r>
      <w:r w:rsidR="0051331C" w:rsidRPr="00CE7D95">
        <w:rPr>
          <w:szCs w:val="22"/>
        </w:rPr>
        <w:t xml:space="preserve">. </w:t>
      </w:r>
      <w:r w:rsidR="00CD4031">
        <w:rPr>
          <w:szCs w:val="22"/>
        </w:rPr>
        <w:t>B</w:t>
      </w:r>
      <w:r w:rsidR="0051331C" w:rsidRPr="00CE7D95">
        <w:rPr>
          <w:szCs w:val="22"/>
        </w:rPr>
        <w:t>lue collar occupations like</w:t>
      </w:r>
      <w:r w:rsidR="004A4850">
        <w:rPr>
          <w:szCs w:val="22"/>
        </w:rPr>
        <w:t xml:space="preserve"> </w:t>
      </w:r>
      <w:r w:rsidR="00DB10D2">
        <w:rPr>
          <w:szCs w:val="22"/>
        </w:rPr>
        <w:t>heavy &amp; tractor-trailer truck drivers</w:t>
      </w:r>
      <w:r w:rsidR="00CD4031">
        <w:rPr>
          <w:szCs w:val="22"/>
        </w:rPr>
        <w:t>,</w:t>
      </w:r>
      <w:r w:rsidR="00DB10D2">
        <w:rPr>
          <w:szCs w:val="22"/>
        </w:rPr>
        <w:t xml:space="preserve"> </w:t>
      </w:r>
      <w:r w:rsidR="00CD4031">
        <w:rPr>
          <w:szCs w:val="22"/>
        </w:rPr>
        <w:t>general maintenance &amp; repair workers,</w:t>
      </w:r>
      <w:r w:rsidRPr="00CE7D95">
        <w:rPr>
          <w:szCs w:val="22"/>
        </w:rPr>
        <w:t xml:space="preserve"> </w:t>
      </w:r>
      <w:r w:rsidR="00DB10D2">
        <w:rPr>
          <w:szCs w:val="22"/>
        </w:rPr>
        <w:t xml:space="preserve">and </w:t>
      </w:r>
      <w:r w:rsidR="00CD4031">
        <w:rPr>
          <w:szCs w:val="22"/>
        </w:rPr>
        <w:t xml:space="preserve">industrial </w:t>
      </w:r>
      <w:r w:rsidR="00EB30D4">
        <w:rPr>
          <w:szCs w:val="22"/>
        </w:rPr>
        <w:t>truck &amp; tractor operators</w:t>
      </w:r>
      <w:r w:rsidR="00DB10D2">
        <w:rPr>
          <w:szCs w:val="22"/>
        </w:rPr>
        <w:t xml:space="preserve"> </w:t>
      </w:r>
      <w:r w:rsidR="0051331C" w:rsidRPr="00CE7D95">
        <w:rPr>
          <w:szCs w:val="22"/>
        </w:rPr>
        <w:t xml:space="preserve">appear to be undersupplied in the </w:t>
      </w:r>
      <w:r w:rsidR="006C38C7">
        <w:rPr>
          <w:szCs w:val="22"/>
        </w:rPr>
        <w:t>CCC</w:t>
      </w:r>
      <w:r w:rsidR="0051331C" w:rsidRPr="00CE7D95">
        <w:rPr>
          <w:szCs w:val="22"/>
        </w:rPr>
        <w:t xml:space="preserve"> </w:t>
      </w:r>
      <w:r w:rsidR="00B101E7">
        <w:rPr>
          <w:szCs w:val="22"/>
        </w:rPr>
        <w:t>Economic Region</w:t>
      </w:r>
      <w:r w:rsidR="0051331C" w:rsidRPr="00CE7D95">
        <w:rPr>
          <w:szCs w:val="22"/>
        </w:rPr>
        <w:t xml:space="preserve">. </w:t>
      </w:r>
      <w:r w:rsidR="00CD4031">
        <w:rPr>
          <w:szCs w:val="22"/>
        </w:rPr>
        <w:t>Skilled trades like electricians</w:t>
      </w:r>
      <w:r w:rsidR="00EB30D4">
        <w:rPr>
          <w:szCs w:val="22"/>
        </w:rPr>
        <w:t xml:space="preserve"> </w:t>
      </w:r>
      <w:r w:rsidR="00CD4031">
        <w:rPr>
          <w:szCs w:val="22"/>
        </w:rPr>
        <w:t xml:space="preserve">and carpenters are other areas of opportunity. </w:t>
      </w:r>
      <w:r w:rsidR="008340AA" w:rsidRPr="00CE7D95">
        <w:rPr>
          <w:szCs w:val="22"/>
        </w:rPr>
        <w:t xml:space="preserve">Wage rates </w:t>
      </w:r>
      <w:r w:rsidR="004A4850">
        <w:rPr>
          <w:szCs w:val="22"/>
        </w:rPr>
        <w:t xml:space="preserve">are in a </w:t>
      </w:r>
      <w:r w:rsidR="008340AA" w:rsidRPr="00CE7D95">
        <w:rPr>
          <w:szCs w:val="22"/>
        </w:rPr>
        <w:t xml:space="preserve">range </w:t>
      </w:r>
      <w:r w:rsidR="004A4850">
        <w:rPr>
          <w:szCs w:val="22"/>
        </w:rPr>
        <w:t>between</w:t>
      </w:r>
      <w:r w:rsidRPr="00CE7D95">
        <w:rPr>
          <w:szCs w:val="22"/>
        </w:rPr>
        <w:t xml:space="preserve"> </w:t>
      </w:r>
      <w:r w:rsidR="008340AA" w:rsidRPr="00CE7D95">
        <w:rPr>
          <w:szCs w:val="22"/>
        </w:rPr>
        <w:t>$</w:t>
      </w:r>
      <w:r w:rsidR="00EB30D4">
        <w:rPr>
          <w:szCs w:val="22"/>
        </w:rPr>
        <w:t>12.27</w:t>
      </w:r>
      <w:r w:rsidRPr="00CE7D95">
        <w:rPr>
          <w:szCs w:val="22"/>
        </w:rPr>
        <w:t xml:space="preserve"> for </w:t>
      </w:r>
      <w:r w:rsidR="00EB30D4">
        <w:rPr>
          <w:szCs w:val="22"/>
        </w:rPr>
        <w:t>farmworkers, farm, ranch, &amp; aquacultural animals</w:t>
      </w:r>
      <w:r w:rsidR="004A4850" w:rsidRPr="00CE7D95">
        <w:rPr>
          <w:szCs w:val="22"/>
        </w:rPr>
        <w:t xml:space="preserve"> </w:t>
      </w:r>
      <w:r w:rsidR="008340AA" w:rsidRPr="00CE7D95">
        <w:rPr>
          <w:szCs w:val="22"/>
        </w:rPr>
        <w:t xml:space="preserve">to </w:t>
      </w:r>
      <w:r>
        <w:rPr>
          <w:szCs w:val="22"/>
        </w:rPr>
        <w:t>a high of $</w:t>
      </w:r>
      <w:r w:rsidR="002A1559">
        <w:rPr>
          <w:szCs w:val="22"/>
        </w:rPr>
        <w:t>3</w:t>
      </w:r>
      <w:r w:rsidR="00CD4031">
        <w:rPr>
          <w:szCs w:val="22"/>
        </w:rPr>
        <w:t>9.62</w:t>
      </w:r>
      <w:r>
        <w:rPr>
          <w:szCs w:val="22"/>
        </w:rPr>
        <w:t xml:space="preserve"> for </w:t>
      </w:r>
      <w:r w:rsidR="00CD4031">
        <w:rPr>
          <w:szCs w:val="22"/>
        </w:rPr>
        <w:t>electrical power-line installers &amp; repairers</w:t>
      </w:r>
      <w:r w:rsidR="000865E2">
        <w:rPr>
          <w:szCs w:val="22"/>
        </w:rPr>
        <w:t>.</w:t>
      </w:r>
    </w:p>
    <w:p w14:paraId="475F4B86" w14:textId="5DE86F49" w:rsidR="00DB10D2" w:rsidRDefault="00DB10D2" w:rsidP="00641562">
      <w:pPr>
        <w:rPr>
          <w:szCs w:val="22"/>
        </w:rPr>
      </w:pPr>
      <w:r>
        <w:rPr>
          <w:szCs w:val="22"/>
        </w:rPr>
        <w:lastRenderedPageBreak/>
        <w:t xml:space="preserve">The other </w:t>
      </w:r>
      <w:r w:rsidR="00EB30D4">
        <w:rPr>
          <w:szCs w:val="22"/>
        </w:rPr>
        <w:t>four</w:t>
      </w:r>
      <w:r w:rsidR="00CD4031">
        <w:rPr>
          <w:szCs w:val="22"/>
        </w:rPr>
        <w:t xml:space="preserve"> </w:t>
      </w:r>
      <w:r>
        <w:rPr>
          <w:szCs w:val="22"/>
        </w:rPr>
        <w:t xml:space="preserve">areas of opportunity are at the associate’s degree level. </w:t>
      </w:r>
      <w:r w:rsidR="00CD4031">
        <w:rPr>
          <w:szCs w:val="22"/>
        </w:rPr>
        <w:t>Medical &amp; clinical laboratory technicians</w:t>
      </w:r>
      <w:r w:rsidR="002A1559">
        <w:rPr>
          <w:szCs w:val="22"/>
        </w:rPr>
        <w:t xml:space="preserve"> have the largest gap but also </w:t>
      </w:r>
      <w:r w:rsidR="00D54360">
        <w:rPr>
          <w:szCs w:val="22"/>
        </w:rPr>
        <w:t xml:space="preserve">have low </w:t>
      </w:r>
      <w:r w:rsidR="002A1559">
        <w:rPr>
          <w:szCs w:val="22"/>
        </w:rPr>
        <w:t xml:space="preserve">pay </w:t>
      </w:r>
      <w:r w:rsidR="00D54360">
        <w:rPr>
          <w:szCs w:val="22"/>
        </w:rPr>
        <w:t>(</w:t>
      </w:r>
      <w:r w:rsidR="002A1559">
        <w:rPr>
          <w:szCs w:val="22"/>
        </w:rPr>
        <w:t>only $</w:t>
      </w:r>
      <w:r w:rsidR="00CD4031">
        <w:rPr>
          <w:szCs w:val="22"/>
        </w:rPr>
        <w:t>16.93</w:t>
      </w:r>
      <w:r w:rsidR="002A1559">
        <w:rPr>
          <w:szCs w:val="22"/>
        </w:rPr>
        <w:t xml:space="preserve"> an hour</w:t>
      </w:r>
      <w:r w:rsidR="00D54360">
        <w:rPr>
          <w:szCs w:val="22"/>
        </w:rPr>
        <w:t>)</w:t>
      </w:r>
      <w:r w:rsidR="002A1559">
        <w:rPr>
          <w:szCs w:val="22"/>
        </w:rPr>
        <w:t xml:space="preserve">. </w:t>
      </w:r>
      <w:r w:rsidR="00CD4031">
        <w:rPr>
          <w:szCs w:val="22"/>
        </w:rPr>
        <w:t>Another healthcare related occupation, diagnostic medical sonographers,</w:t>
      </w:r>
      <w:r w:rsidR="00C3609A">
        <w:rPr>
          <w:szCs w:val="22"/>
        </w:rPr>
        <w:t xml:space="preserve"> </w:t>
      </w:r>
      <w:r w:rsidR="00CD4031">
        <w:rPr>
          <w:szCs w:val="22"/>
        </w:rPr>
        <w:t>has a small gap but high wages</w:t>
      </w:r>
      <w:r w:rsidR="00C3609A">
        <w:rPr>
          <w:szCs w:val="22"/>
        </w:rPr>
        <w:t xml:space="preserve"> (gap of 8; median hourly earnings</w:t>
      </w:r>
      <w:r w:rsidR="00E7327C">
        <w:rPr>
          <w:szCs w:val="22"/>
        </w:rPr>
        <w:t xml:space="preserve"> $41.15</w:t>
      </w:r>
      <w:r w:rsidR="00C3609A">
        <w:rPr>
          <w:szCs w:val="22"/>
        </w:rPr>
        <w:t>). Medical equipment repairers</w:t>
      </w:r>
      <w:r w:rsidR="00EB30D4">
        <w:rPr>
          <w:szCs w:val="22"/>
        </w:rPr>
        <w:t xml:space="preserve"> and</w:t>
      </w:r>
      <w:r w:rsidR="00C3609A">
        <w:rPr>
          <w:szCs w:val="22"/>
        </w:rPr>
        <w:t xml:space="preserve"> chemical technicians are </w:t>
      </w:r>
      <w:r w:rsidR="00EB30D4">
        <w:rPr>
          <w:szCs w:val="22"/>
        </w:rPr>
        <w:t>two</w:t>
      </w:r>
      <w:r w:rsidR="00C3609A">
        <w:rPr>
          <w:szCs w:val="22"/>
        </w:rPr>
        <w:t xml:space="preserve"> other potential areas of opportunity at the associate’s degree level.</w:t>
      </w:r>
    </w:p>
    <w:p w14:paraId="3ABA377C" w14:textId="2CBED0F3" w:rsidR="00641562" w:rsidRDefault="005F4E2C" w:rsidP="003966E8">
      <w:pPr>
        <w:pStyle w:val="Tabletitle"/>
      </w:pPr>
      <w:r>
        <w:t>Table 2.</w:t>
      </w:r>
      <w:r w:rsidR="00641562">
        <w:t>3</w:t>
      </w:r>
      <w:r w:rsidR="00641562" w:rsidRPr="007C1DA3">
        <w:t xml:space="preserve">: </w:t>
      </w:r>
      <w:r w:rsidR="00641562">
        <w:t>Programmatic Areas of Opportunity</w:t>
      </w:r>
    </w:p>
    <w:tbl>
      <w:tblPr>
        <w:tblStyle w:val="MediumShading1-Accent1"/>
        <w:tblpPr w:leftFromText="180" w:rightFromText="180" w:vertAnchor="text" w:tblpY="1"/>
        <w:tblOverlap w:val="never"/>
        <w:tblW w:w="9918" w:type="dxa"/>
        <w:tblLayout w:type="fixed"/>
        <w:tblLook w:val="04A0" w:firstRow="1" w:lastRow="0" w:firstColumn="1" w:lastColumn="0" w:noHBand="0" w:noVBand="1"/>
      </w:tblPr>
      <w:tblGrid>
        <w:gridCol w:w="908"/>
        <w:gridCol w:w="3880"/>
        <w:gridCol w:w="1079"/>
        <w:gridCol w:w="1260"/>
        <w:gridCol w:w="631"/>
        <w:gridCol w:w="990"/>
        <w:gridCol w:w="1170"/>
      </w:tblGrid>
      <w:tr w:rsidR="009715AA" w:rsidRPr="008A7DB3" w14:paraId="0B258033" w14:textId="77777777" w:rsidTr="00EB30D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vAlign w:val="center"/>
            <w:hideMark/>
          </w:tcPr>
          <w:p w14:paraId="14EF6279" w14:textId="77777777" w:rsidR="006933DC" w:rsidRPr="008A7DB3" w:rsidRDefault="006933DC" w:rsidP="006C0F11">
            <w:pPr>
              <w:pStyle w:val="Tableheaderleft"/>
              <w:jc w:val="center"/>
              <w:rPr>
                <w:b/>
              </w:rPr>
            </w:pPr>
            <w:r>
              <w:rPr>
                <w:b/>
              </w:rPr>
              <w:t>SOC</w:t>
            </w:r>
          </w:p>
        </w:tc>
        <w:tc>
          <w:tcPr>
            <w:tcW w:w="1956" w:type="pct"/>
            <w:tcBorders>
              <w:left w:val="single" w:sz="8" w:space="0" w:color="7BA0CD" w:themeColor="accent1" w:themeTint="BF"/>
              <w:right w:val="single" w:sz="8" w:space="0" w:color="7BA0CD" w:themeColor="accent1" w:themeTint="BF"/>
            </w:tcBorders>
            <w:vAlign w:val="center"/>
            <w:hideMark/>
          </w:tcPr>
          <w:p w14:paraId="3EA167F1" w14:textId="77777777" w:rsidR="006933DC" w:rsidRPr="008A7DB3" w:rsidRDefault="006933DC" w:rsidP="006C0F11">
            <w:pPr>
              <w:pStyle w:val="Tableheadercenter"/>
              <w:cnfStyle w:val="100000000000" w:firstRow="1" w:lastRow="0" w:firstColumn="0" w:lastColumn="0" w:oddVBand="0" w:evenVBand="0" w:oddHBand="0" w:evenHBand="0" w:firstRowFirstColumn="0" w:firstRowLastColumn="0" w:lastRowFirstColumn="0" w:lastRowLastColumn="0"/>
              <w:rPr>
                <w:b/>
              </w:rPr>
            </w:pPr>
            <w:r>
              <w:rPr>
                <w:b/>
              </w:rPr>
              <w:t>SOC Title</w:t>
            </w:r>
          </w:p>
        </w:tc>
        <w:tc>
          <w:tcPr>
            <w:tcW w:w="544" w:type="pct"/>
            <w:tcBorders>
              <w:left w:val="single" w:sz="8" w:space="0" w:color="7BA0CD" w:themeColor="accent1" w:themeTint="BF"/>
              <w:right w:val="single" w:sz="8" w:space="0" w:color="7BA0CD" w:themeColor="accent1" w:themeTint="BF"/>
            </w:tcBorders>
            <w:vAlign w:val="center"/>
            <w:hideMark/>
          </w:tcPr>
          <w:p w14:paraId="511D53EE" w14:textId="77777777" w:rsidR="006933DC" w:rsidRPr="008A7DB3" w:rsidRDefault="006933DC" w:rsidP="006C0F11">
            <w:pPr>
              <w:pStyle w:val="Tableheadercenter"/>
              <w:cnfStyle w:val="100000000000" w:firstRow="1" w:lastRow="0" w:firstColumn="0" w:lastColumn="0" w:oddVBand="0" w:evenVBand="0" w:oddHBand="0" w:evenHBand="0" w:firstRowFirstColumn="0" w:firstRowLastColumn="0" w:lastRowFirstColumn="0" w:lastRowLastColumn="0"/>
              <w:rPr>
                <w:b/>
              </w:rPr>
            </w:pPr>
            <w:r w:rsidRPr="008A7DB3">
              <w:rPr>
                <w:b/>
              </w:rPr>
              <w:t>Average Annual Openings</w:t>
            </w:r>
          </w:p>
        </w:tc>
        <w:tc>
          <w:tcPr>
            <w:tcW w:w="635" w:type="pct"/>
            <w:tcBorders>
              <w:left w:val="single" w:sz="8" w:space="0" w:color="7BA0CD" w:themeColor="accent1" w:themeTint="BF"/>
              <w:right w:val="single" w:sz="8" w:space="0" w:color="7BA0CD" w:themeColor="accent1" w:themeTint="BF"/>
            </w:tcBorders>
            <w:vAlign w:val="center"/>
            <w:hideMark/>
          </w:tcPr>
          <w:p w14:paraId="6D29A0F5" w14:textId="77777777" w:rsidR="006933DC" w:rsidRPr="008A7DB3" w:rsidRDefault="006933DC" w:rsidP="006C0F11">
            <w:pPr>
              <w:pStyle w:val="Tableheadercenter"/>
              <w:cnfStyle w:val="100000000000" w:firstRow="1" w:lastRow="0" w:firstColumn="0" w:lastColumn="0" w:oddVBand="0" w:evenVBand="0" w:oddHBand="0" w:evenHBand="0" w:firstRowFirstColumn="0" w:firstRowLastColumn="0" w:lastRowFirstColumn="0" w:lastRowLastColumn="0"/>
              <w:rPr>
                <w:b/>
              </w:rPr>
            </w:pPr>
            <w:r w:rsidRPr="008A7DB3">
              <w:rPr>
                <w:b/>
              </w:rPr>
              <w:t>Average Annual Completers</w:t>
            </w:r>
          </w:p>
        </w:tc>
        <w:tc>
          <w:tcPr>
            <w:tcW w:w="318" w:type="pct"/>
            <w:tcBorders>
              <w:left w:val="single" w:sz="8" w:space="0" w:color="7BA0CD" w:themeColor="accent1" w:themeTint="BF"/>
              <w:right w:val="single" w:sz="8" w:space="0" w:color="7BA0CD" w:themeColor="accent1" w:themeTint="BF"/>
            </w:tcBorders>
            <w:vAlign w:val="center"/>
            <w:hideMark/>
          </w:tcPr>
          <w:p w14:paraId="7110CC7D" w14:textId="53D174E6" w:rsidR="006933DC" w:rsidRPr="008A7DB3" w:rsidRDefault="006933DC" w:rsidP="006C0F11">
            <w:pPr>
              <w:pStyle w:val="Tableheadercenter"/>
              <w:cnfStyle w:val="100000000000" w:firstRow="1" w:lastRow="0" w:firstColumn="0" w:lastColumn="0" w:oddVBand="0" w:evenVBand="0" w:oddHBand="0" w:evenHBand="0" w:firstRowFirstColumn="0" w:firstRowLastColumn="0" w:lastRowFirstColumn="0" w:lastRowLastColumn="0"/>
              <w:rPr>
                <w:b/>
              </w:rPr>
            </w:pPr>
            <w:r w:rsidRPr="008A7DB3">
              <w:rPr>
                <w:b/>
              </w:rPr>
              <w:t>Gap</w:t>
            </w:r>
          </w:p>
        </w:tc>
        <w:tc>
          <w:tcPr>
            <w:tcW w:w="499" w:type="pct"/>
            <w:tcBorders>
              <w:left w:val="single" w:sz="8" w:space="0" w:color="7BA0CD" w:themeColor="accent1" w:themeTint="BF"/>
              <w:right w:val="single" w:sz="8" w:space="0" w:color="7BA0CD" w:themeColor="accent1" w:themeTint="BF"/>
            </w:tcBorders>
          </w:tcPr>
          <w:p w14:paraId="0A05DD8A" w14:textId="4EB5DA27" w:rsidR="006933DC" w:rsidRPr="00AF05D1" w:rsidRDefault="006933DC" w:rsidP="006C0F11">
            <w:pPr>
              <w:pStyle w:val="Tableheadercenter"/>
              <w:cnfStyle w:val="100000000000" w:firstRow="1" w:lastRow="0" w:firstColumn="0" w:lastColumn="0" w:oddVBand="0" w:evenVBand="0" w:oddHBand="0" w:evenHBand="0" w:firstRowFirstColumn="0" w:firstRowLastColumn="0" w:lastRowFirstColumn="0" w:lastRowLastColumn="0"/>
              <w:rPr>
                <w:b/>
              </w:rPr>
            </w:pPr>
            <w:r w:rsidRPr="00AF05D1">
              <w:rPr>
                <w:b/>
              </w:rPr>
              <w:t>Median Hourly Earnings</w:t>
            </w:r>
          </w:p>
        </w:tc>
        <w:tc>
          <w:tcPr>
            <w:tcW w:w="590" w:type="pct"/>
            <w:tcBorders>
              <w:left w:val="single" w:sz="8" w:space="0" w:color="7BA0CD" w:themeColor="accent1" w:themeTint="BF"/>
            </w:tcBorders>
            <w:vAlign w:val="center"/>
          </w:tcPr>
          <w:p w14:paraId="2C81D06C" w14:textId="6A040928" w:rsidR="006933DC" w:rsidRPr="008A7DB3" w:rsidRDefault="006933DC" w:rsidP="006C0F11">
            <w:pPr>
              <w:pStyle w:val="Tableheadercenter"/>
              <w:cnfStyle w:val="100000000000" w:firstRow="1" w:lastRow="0" w:firstColumn="0" w:lastColumn="0" w:oddVBand="0" w:evenVBand="0" w:oddHBand="0" w:evenHBand="0" w:firstRowFirstColumn="0" w:firstRowLastColumn="0" w:lastRowFirstColumn="0" w:lastRowLastColumn="0"/>
              <w:rPr>
                <w:b/>
              </w:rPr>
            </w:pPr>
            <w:r>
              <w:rPr>
                <w:b/>
              </w:rPr>
              <w:t>Education Level</w:t>
            </w:r>
          </w:p>
        </w:tc>
      </w:tr>
      <w:tr w:rsidR="009715AA" w:rsidRPr="008A7DB3" w14:paraId="1A6E567F"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hideMark/>
          </w:tcPr>
          <w:p w14:paraId="38B3EA83" w14:textId="697B49CE" w:rsidR="009715AA" w:rsidRPr="00284D6F" w:rsidRDefault="009715AA" w:rsidP="006C0F11">
            <w:pPr>
              <w:pStyle w:val="Tablenormalleft"/>
              <w:jc w:val="left"/>
              <w:rPr>
                <w:color w:val="000000"/>
                <w:szCs w:val="18"/>
              </w:rPr>
            </w:pPr>
            <w:r w:rsidRPr="00604CBD">
              <w:t>53-3032</w:t>
            </w:r>
          </w:p>
        </w:tc>
        <w:tc>
          <w:tcPr>
            <w:tcW w:w="1956" w:type="pct"/>
            <w:tcBorders>
              <w:left w:val="single" w:sz="8" w:space="0" w:color="7BA0CD" w:themeColor="accent1" w:themeTint="BF"/>
              <w:right w:val="single" w:sz="8" w:space="0" w:color="7BA0CD" w:themeColor="accent1" w:themeTint="BF"/>
            </w:tcBorders>
            <w:noWrap/>
            <w:hideMark/>
          </w:tcPr>
          <w:p w14:paraId="69387017" w14:textId="48B5DD3B" w:rsidR="009715AA" w:rsidRPr="00284D6F"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604CBD">
              <w:t>Heavy and Tractor-Trailer Truck Drivers</w:t>
            </w:r>
          </w:p>
        </w:tc>
        <w:tc>
          <w:tcPr>
            <w:tcW w:w="544" w:type="pct"/>
            <w:tcBorders>
              <w:left w:val="single" w:sz="8" w:space="0" w:color="7BA0CD" w:themeColor="accent1" w:themeTint="BF"/>
              <w:right w:val="single" w:sz="8" w:space="0" w:color="7BA0CD" w:themeColor="accent1" w:themeTint="BF"/>
            </w:tcBorders>
            <w:noWrap/>
            <w:hideMark/>
          </w:tcPr>
          <w:p w14:paraId="35310DA7" w14:textId="67660A48"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318</w:t>
            </w:r>
          </w:p>
        </w:tc>
        <w:tc>
          <w:tcPr>
            <w:tcW w:w="635" w:type="pct"/>
            <w:tcBorders>
              <w:left w:val="single" w:sz="8" w:space="0" w:color="7BA0CD" w:themeColor="accent1" w:themeTint="BF"/>
              <w:right w:val="single" w:sz="8" w:space="0" w:color="7BA0CD" w:themeColor="accent1" w:themeTint="BF"/>
            </w:tcBorders>
            <w:noWrap/>
            <w:hideMark/>
          </w:tcPr>
          <w:p w14:paraId="35E59DB4" w14:textId="73049091"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113</w:t>
            </w:r>
          </w:p>
        </w:tc>
        <w:tc>
          <w:tcPr>
            <w:tcW w:w="318" w:type="pct"/>
            <w:tcBorders>
              <w:left w:val="single" w:sz="8" w:space="0" w:color="7BA0CD" w:themeColor="accent1" w:themeTint="BF"/>
              <w:right w:val="single" w:sz="8" w:space="0" w:color="7BA0CD" w:themeColor="accent1" w:themeTint="BF"/>
            </w:tcBorders>
            <w:noWrap/>
            <w:hideMark/>
          </w:tcPr>
          <w:p w14:paraId="44DFDAA8" w14:textId="3C2A8174"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205</w:t>
            </w:r>
          </w:p>
        </w:tc>
        <w:tc>
          <w:tcPr>
            <w:tcW w:w="499" w:type="pct"/>
            <w:tcBorders>
              <w:left w:val="single" w:sz="8" w:space="0" w:color="7BA0CD" w:themeColor="accent1" w:themeTint="BF"/>
              <w:right w:val="single" w:sz="8" w:space="0" w:color="7BA0CD" w:themeColor="accent1" w:themeTint="BF"/>
            </w:tcBorders>
          </w:tcPr>
          <w:p w14:paraId="7E06D004" w14:textId="4DEB599B"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 xml:space="preserve">$17.41 </w:t>
            </w:r>
          </w:p>
        </w:tc>
        <w:tc>
          <w:tcPr>
            <w:tcW w:w="590" w:type="pct"/>
            <w:tcBorders>
              <w:left w:val="single" w:sz="8" w:space="0" w:color="7BA0CD" w:themeColor="accent1" w:themeTint="BF"/>
            </w:tcBorders>
          </w:tcPr>
          <w:p w14:paraId="5AD437D2" w14:textId="2AE2631A"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Certificate</w:t>
            </w:r>
          </w:p>
        </w:tc>
      </w:tr>
      <w:tr w:rsidR="009715AA" w:rsidRPr="008A7DB3" w14:paraId="2AC33ECC"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72CD5C23" w14:textId="180A83F2" w:rsidR="009715AA" w:rsidRPr="00284D6F" w:rsidRDefault="009715AA" w:rsidP="006C0F11">
            <w:pPr>
              <w:pStyle w:val="Tablenormalleft"/>
              <w:jc w:val="left"/>
              <w:rPr>
                <w:szCs w:val="18"/>
              </w:rPr>
            </w:pPr>
            <w:r w:rsidRPr="00604CBD">
              <w:t>49-9071</w:t>
            </w:r>
          </w:p>
        </w:tc>
        <w:tc>
          <w:tcPr>
            <w:tcW w:w="1956" w:type="pct"/>
            <w:tcBorders>
              <w:left w:val="single" w:sz="8" w:space="0" w:color="7BA0CD" w:themeColor="accent1" w:themeTint="BF"/>
              <w:right w:val="single" w:sz="8" w:space="0" w:color="7BA0CD" w:themeColor="accent1" w:themeTint="BF"/>
            </w:tcBorders>
            <w:noWrap/>
          </w:tcPr>
          <w:p w14:paraId="4B549650" w14:textId="211FBD26"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Maintenance and Repair Workers, General</w:t>
            </w:r>
          </w:p>
        </w:tc>
        <w:tc>
          <w:tcPr>
            <w:tcW w:w="544" w:type="pct"/>
            <w:tcBorders>
              <w:left w:val="single" w:sz="8" w:space="0" w:color="7BA0CD" w:themeColor="accent1" w:themeTint="BF"/>
              <w:right w:val="single" w:sz="8" w:space="0" w:color="7BA0CD" w:themeColor="accent1" w:themeTint="BF"/>
            </w:tcBorders>
            <w:noWrap/>
          </w:tcPr>
          <w:p w14:paraId="07174E9D" w14:textId="20EABE4D"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159</w:t>
            </w:r>
          </w:p>
        </w:tc>
        <w:tc>
          <w:tcPr>
            <w:tcW w:w="635" w:type="pct"/>
            <w:tcBorders>
              <w:left w:val="single" w:sz="8" w:space="0" w:color="7BA0CD" w:themeColor="accent1" w:themeTint="BF"/>
              <w:right w:val="single" w:sz="8" w:space="0" w:color="7BA0CD" w:themeColor="accent1" w:themeTint="BF"/>
            </w:tcBorders>
            <w:noWrap/>
          </w:tcPr>
          <w:p w14:paraId="242F7E75" w14:textId="78F9119F"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4D13026E" w14:textId="79AF8488"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159</w:t>
            </w:r>
          </w:p>
        </w:tc>
        <w:tc>
          <w:tcPr>
            <w:tcW w:w="499" w:type="pct"/>
            <w:tcBorders>
              <w:left w:val="single" w:sz="8" w:space="0" w:color="7BA0CD" w:themeColor="accent1" w:themeTint="BF"/>
              <w:right w:val="single" w:sz="8" w:space="0" w:color="7BA0CD" w:themeColor="accent1" w:themeTint="BF"/>
            </w:tcBorders>
          </w:tcPr>
          <w:p w14:paraId="6D510B14" w14:textId="036090B4"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 xml:space="preserve">$17.06 </w:t>
            </w:r>
          </w:p>
        </w:tc>
        <w:tc>
          <w:tcPr>
            <w:tcW w:w="590" w:type="pct"/>
            <w:tcBorders>
              <w:left w:val="single" w:sz="8" w:space="0" w:color="7BA0CD" w:themeColor="accent1" w:themeTint="BF"/>
            </w:tcBorders>
          </w:tcPr>
          <w:p w14:paraId="5922E54A" w14:textId="3F65A99F"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Certificate</w:t>
            </w:r>
          </w:p>
        </w:tc>
      </w:tr>
      <w:tr w:rsidR="009715AA" w:rsidRPr="008A7DB3" w14:paraId="660FC329"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04545B55" w14:textId="51B072AA" w:rsidR="009715AA" w:rsidRPr="00284D6F" w:rsidRDefault="009715AA" w:rsidP="006C0F11">
            <w:pPr>
              <w:pStyle w:val="Tablenormalleft"/>
              <w:jc w:val="left"/>
              <w:rPr>
                <w:szCs w:val="18"/>
              </w:rPr>
            </w:pPr>
            <w:r w:rsidRPr="00604CBD">
              <w:t>53-7051</w:t>
            </w:r>
          </w:p>
        </w:tc>
        <w:tc>
          <w:tcPr>
            <w:tcW w:w="1956" w:type="pct"/>
            <w:tcBorders>
              <w:left w:val="single" w:sz="8" w:space="0" w:color="7BA0CD" w:themeColor="accent1" w:themeTint="BF"/>
              <w:right w:val="single" w:sz="8" w:space="0" w:color="7BA0CD" w:themeColor="accent1" w:themeTint="BF"/>
            </w:tcBorders>
            <w:noWrap/>
          </w:tcPr>
          <w:p w14:paraId="33408C78" w14:textId="1EA801A9" w:rsidR="009715AA" w:rsidRPr="00284D6F"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604CBD">
              <w:t>Industrial Truck and Tractor Operators</w:t>
            </w:r>
          </w:p>
        </w:tc>
        <w:tc>
          <w:tcPr>
            <w:tcW w:w="544" w:type="pct"/>
            <w:tcBorders>
              <w:left w:val="single" w:sz="8" w:space="0" w:color="7BA0CD" w:themeColor="accent1" w:themeTint="BF"/>
              <w:right w:val="single" w:sz="8" w:space="0" w:color="7BA0CD" w:themeColor="accent1" w:themeTint="BF"/>
            </w:tcBorders>
            <w:noWrap/>
          </w:tcPr>
          <w:p w14:paraId="4E59A119" w14:textId="797951CC"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99</w:t>
            </w:r>
          </w:p>
        </w:tc>
        <w:tc>
          <w:tcPr>
            <w:tcW w:w="635" w:type="pct"/>
            <w:tcBorders>
              <w:left w:val="single" w:sz="8" w:space="0" w:color="7BA0CD" w:themeColor="accent1" w:themeTint="BF"/>
              <w:right w:val="single" w:sz="8" w:space="0" w:color="7BA0CD" w:themeColor="accent1" w:themeTint="BF"/>
            </w:tcBorders>
            <w:noWrap/>
          </w:tcPr>
          <w:p w14:paraId="5F861D30" w14:textId="50C07C28"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371AA3DD" w14:textId="425511D5"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99</w:t>
            </w:r>
          </w:p>
        </w:tc>
        <w:tc>
          <w:tcPr>
            <w:tcW w:w="499" w:type="pct"/>
            <w:tcBorders>
              <w:left w:val="single" w:sz="8" w:space="0" w:color="7BA0CD" w:themeColor="accent1" w:themeTint="BF"/>
              <w:right w:val="single" w:sz="8" w:space="0" w:color="7BA0CD" w:themeColor="accent1" w:themeTint="BF"/>
            </w:tcBorders>
          </w:tcPr>
          <w:p w14:paraId="140D1E91" w14:textId="30DA00EC"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 xml:space="preserve">$12.72 </w:t>
            </w:r>
          </w:p>
        </w:tc>
        <w:tc>
          <w:tcPr>
            <w:tcW w:w="590" w:type="pct"/>
            <w:tcBorders>
              <w:left w:val="single" w:sz="8" w:space="0" w:color="7BA0CD" w:themeColor="accent1" w:themeTint="BF"/>
            </w:tcBorders>
          </w:tcPr>
          <w:p w14:paraId="565A6CE0" w14:textId="6F7C8546"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Certificate</w:t>
            </w:r>
          </w:p>
        </w:tc>
      </w:tr>
      <w:tr w:rsidR="009715AA" w:rsidRPr="008A7DB3" w14:paraId="7CF50E9F"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1D73289B" w14:textId="1D067E81" w:rsidR="009715AA" w:rsidRPr="00284D6F" w:rsidRDefault="009715AA" w:rsidP="006C0F11">
            <w:pPr>
              <w:pStyle w:val="Tablenormalleft"/>
              <w:jc w:val="left"/>
              <w:rPr>
                <w:szCs w:val="18"/>
              </w:rPr>
            </w:pPr>
            <w:r w:rsidRPr="00604CBD">
              <w:t>51-9111</w:t>
            </w:r>
          </w:p>
        </w:tc>
        <w:tc>
          <w:tcPr>
            <w:tcW w:w="1956" w:type="pct"/>
            <w:tcBorders>
              <w:left w:val="single" w:sz="8" w:space="0" w:color="7BA0CD" w:themeColor="accent1" w:themeTint="BF"/>
              <w:right w:val="single" w:sz="8" w:space="0" w:color="7BA0CD" w:themeColor="accent1" w:themeTint="BF"/>
            </w:tcBorders>
            <w:noWrap/>
          </w:tcPr>
          <w:p w14:paraId="65E98FDB" w14:textId="52E29989"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Packaging and Filling Machine Operators and Tenders</w:t>
            </w:r>
          </w:p>
        </w:tc>
        <w:tc>
          <w:tcPr>
            <w:tcW w:w="544" w:type="pct"/>
            <w:tcBorders>
              <w:left w:val="single" w:sz="8" w:space="0" w:color="7BA0CD" w:themeColor="accent1" w:themeTint="BF"/>
              <w:right w:val="single" w:sz="8" w:space="0" w:color="7BA0CD" w:themeColor="accent1" w:themeTint="BF"/>
            </w:tcBorders>
            <w:noWrap/>
          </w:tcPr>
          <w:p w14:paraId="4C40C4AF" w14:textId="748042B0"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94</w:t>
            </w:r>
          </w:p>
        </w:tc>
        <w:tc>
          <w:tcPr>
            <w:tcW w:w="635" w:type="pct"/>
            <w:tcBorders>
              <w:left w:val="single" w:sz="8" w:space="0" w:color="7BA0CD" w:themeColor="accent1" w:themeTint="BF"/>
              <w:right w:val="single" w:sz="8" w:space="0" w:color="7BA0CD" w:themeColor="accent1" w:themeTint="BF"/>
            </w:tcBorders>
            <w:noWrap/>
          </w:tcPr>
          <w:p w14:paraId="6BC65EA3" w14:textId="38728439"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34299717" w14:textId="796FF545"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94</w:t>
            </w:r>
          </w:p>
        </w:tc>
        <w:tc>
          <w:tcPr>
            <w:tcW w:w="499" w:type="pct"/>
            <w:tcBorders>
              <w:left w:val="single" w:sz="8" w:space="0" w:color="7BA0CD" w:themeColor="accent1" w:themeTint="BF"/>
              <w:right w:val="single" w:sz="8" w:space="0" w:color="7BA0CD" w:themeColor="accent1" w:themeTint="BF"/>
            </w:tcBorders>
          </w:tcPr>
          <w:p w14:paraId="3A961B35" w14:textId="31504E56"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 xml:space="preserve">$12.33 </w:t>
            </w:r>
          </w:p>
        </w:tc>
        <w:tc>
          <w:tcPr>
            <w:tcW w:w="590" w:type="pct"/>
            <w:tcBorders>
              <w:left w:val="single" w:sz="8" w:space="0" w:color="7BA0CD" w:themeColor="accent1" w:themeTint="BF"/>
            </w:tcBorders>
          </w:tcPr>
          <w:p w14:paraId="2B9E8F88" w14:textId="7900FF76"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Certificate</w:t>
            </w:r>
          </w:p>
        </w:tc>
      </w:tr>
      <w:tr w:rsidR="009715AA" w:rsidRPr="008A7DB3" w14:paraId="5ACA8D48"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725283A3" w14:textId="01FB1123" w:rsidR="009715AA" w:rsidRPr="00284D6F" w:rsidRDefault="009715AA" w:rsidP="006C0F11">
            <w:pPr>
              <w:pStyle w:val="Tablenormalleft"/>
              <w:jc w:val="left"/>
              <w:rPr>
                <w:szCs w:val="18"/>
              </w:rPr>
            </w:pPr>
            <w:r w:rsidRPr="00604CBD">
              <w:t>45-2093</w:t>
            </w:r>
          </w:p>
        </w:tc>
        <w:tc>
          <w:tcPr>
            <w:tcW w:w="1956" w:type="pct"/>
            <w:tcBorders>
              <w:left w:val="single" w:sz="8" w:space="0" w:color="7BA0CD" w:themeColor="accent1" w:themeTint="BF"/>
              <w:right w:val="single" w:sz="8" w:space="0" w:color="7BA0CD" w:themeColor="accent1" w:themeTint="BF"/>
            </w:tcBorders>
            <w:noWrap/>
          </w:tcPr>
          <w:p w14:paraId="6290F80D" w14:textId="584AAB4C" w:rsidR="009715AA" w:rsidRPr="00284D6F" w:rsidRDefault="009715AA" w:rsidP="009715AA">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604CBD">
              <w:t>Farmwor</w:t>
            </w:r>
            <w:r>
              <w:t>kers, Farm, Ranch, and A</w:t>
            </w:r>
            <w:r w:rsidRPr="00604CBD">
              <w:t>quacultural Animals</w:t>
            </w:r>
          </w:p>
        </w:tc>
        <w:tc>
          <w:tcPr>
            <w:tcW w:w="544" w:type="pct"/>
            <w:tcBorders>
              <w:left w:val="single" w:sz="8" w:space="0" w:color="7BA0CD" w:themeColor="accent1" w:themeTint="BF"/>
              <w:right w:val="single" w:sz="8" w:space="0" w:color="7BA0CD" w:themeColor="accent1" w:themeTint="BF"/>
            </w:tcBorders>
            <w:noWrap/>
          </w:tcPr>
          <w:p w14:paraId="6E8903E1" w14:textId="7E23B764"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75</w:t>
            </w:r>
          </w:p>
        </w:tc>
        <w:tc>
          <w:tcPr>
            <w:tcW w:w="635" w:type="pct"/>
            <w:tcBorders>
              <w:left w:val="single" w:sz="8" w:space="0" w:color="7BA0CD" w:themeColor="accent1" w:themeTint="BF"/>
              <w:right w:val="single" w:sz="8" w:space="0" w:color="7BA0CD" w:themeColor="accent1" w:themeTint="BF"/>
            </w:tcBorders>
            <w:noWrap/>
          </w:tcPr>
          <w:p w14:paraId="1966C3EE" w14:textId="0A83890E"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1677383D" w14:textId="392A10F9"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75</w:t>
            </w:r>
          </w:p>
        </w:tc>
        <w:tc>
          <w:tcPr>
            <w:tcW w:w="499" w:type="pct"/>
            <w:tcBorders>
              <w:left w:val="single" w:sz="8" w:space="0" w:color="7BA0CD" w:themeColor="accent1" w:themeTint="BF"/>
              <w:right w:val="single" w:sz="8" w:space="0" w:color="7BA0CD" w:themeColor="accent1" w:themeTint="BF"/>
            </w:tcBorders>
          </w:tcPr>
          <w:p w14:paraId="76B5272A" w14:textId="4CE2D89C"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 xml:space="preserve">$12.27 </w:t>
            </w:r>
          </w:p>
        </w:tc>
        <w:tc>
          <w:tcPr>
            <w:tcW w:w="590" w:type="pct"/>
            <w:tcBorders>
              <w:left w:val="single" w:sz="8" w:space="0" w:color="7BA0CD" w:themeColor="accent1" w:themeTint="BF"/>
            </w:tcBorders>
          </w:tcPr>
          <w:p w14:paraId="1EAC8081" w14:textId="59AC83EA"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Certificate</w:t>
            </w:r>
          </w:p>
        </w:tc>
      </w:tr>
      <w:tr w:rsidR="009715AA" w:rsidRPr="008A7DB3" w14:paraId="0FA9E1E1"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21A629CC" w14:textId="1A1977E7" w:rsidR="009715AA" w:rsidRPr="00284D6F" w:rsidRDefault="009715AA" w:rsidP="006C0F11">
            <w:pPr>
              <w:pStyle w:val="Tablenormalleft"/>
              <w:jc w:val="left"/>
              <w:rPr>
                <w:szCs w:val="18"/>
              </w:rPr>
            </w:pPr>
            <w:r w:rsidRPr="00604CBD">
              <w:t>47-2111</w:t>
            </w:r>
          </w:p>
        </w:tc>
        <w:tc>
          <w:tcPr>
            <w:tcW w:w="1956" w:type="pct"/>
            <w:tcBorders>
              <w:left w:val="single" w:sz="8" w:space="0" w:color="7BA0CD" w:themeColor="accent1" w:themeTint="BF"/>
              <w:right w:val="single" w:sz="8" w:space="0" w:color="7BA0CD" w:themeColor="accent1" w:themeTint="BF"/>
            </w:tcBorders>
            <w:noWrap/>
          </w:tcPr>
          <w:p w14:paraId="7E9E4688" w14:textId="18DAA5F2"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Electricians</w:t>
            </w:r>
          </w:p>
        </w:tc>
        <w:tc>
          <w:tcPr>
            <w:tcW w:w="544" w:type="pct"/>
            <w:tcBorders>
              <w:left w:val="single" w:sz="8" w:space="0" w:color="7BA0CD" w:themeColor="accent1" w:themeTint="BF"/>
              <w:right w:val="single" w:sz="8" w:space="0" w:color="7BA0CD" w:themeColor="accent1" w:themeTint="BF"/>
            </w:tcBorders>
            <w:noWrap/>
          </w:tcPr>
          <w:p w14:paraId="1904BDEE" w14:textId="4F61A414"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65</w:t>
            </w:r>
          </w:p>
        </w:tc>
        <w:tc>
          <w:tcPr>
            <w:tcW w:w="635" w:type="pct"/>
            <w:tcBorders>
              <w:left w:val="single" w:sz="8" w:space="0" w:color="7BA0CD" w:themeColor="accent1" w:themeTint="BF"/>
              <w:right w:val="single" w:sz="8" w:space="0" w:color="7BA0CD" w:themeColor="accent1" w:themeTint="BF"/>
            </w:tcBorders>
            <w:noWrap/>
          </w:tcPr>
          <w:p w14:paraId="65F703F0" w14:textId="12C8D3D3"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505EFC08" w14:textId="7FF16B77"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65</w:t>
            </w:r>
          </w:p>
        </w:tc>
        <w:tc>
          <w:tcPr>
            <w:tcW w:w="499" w:type="pct"/>
            <w:tcBorders>
              <w:left w:val="single" w:sz="8" w:space="0" w:color="7BA0CD" w:themeColor="accent1" w:themeTint="BF"/>
              <w:right w:val="single" w:sz="8" w:space="0" w:color="7BA0CD" w:themeColor="accent1" w:themeTint="BF"/>
            </w:tcBorders>
          </w:tcPr>
          <w:p w14:paraId="66F7A3AF" w14:textId="0EA8D601"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 xml:space="preserve">$21.74 </w:t>
            </w:r>
          </w:p>
        </w:tc>
        <w:tc>
          <w:tcPr>
            <w:tcW w:w="590" w:type="pct"/>
            <w:tcBorders>
              <w:left w:val="single" w:sz="8" w:space="0" w:color="7BA0CD" w:themeColor="accent1" w:themeTint="BF"/>
            </w:tcBorders>
          </w:tcPr>
          <w:p w14:paraId="454F562D" w14:textId="2C36C6C6"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604CBD">
              <w:t>Certificate</w:t>
            </w:r>
          </w:p>
        </w:tc>
      </w:tr>
      <w:tr w:rsidR="009715AA" w:rsidRPr="008A7DB3" w14:paraId="648FDD7A"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20234FDC" w14:textId="2AEBD9D8" w:rsidR="009715AA" w:rsidRPr="00284D6F" w:rsidRDefault="009715AA" w:rsidP="006C0F11">
            <w:pPr>
              <w:pStyle w:val="Tablenormalleft"/>
              <w:jc w:val="left"/>
              <w:rPr>
                <w:szCs w:val="18"/>
              </w:rPr>
            </w:pPr>
            <w:r w:rsidRPr="00604CBD">
              <w:t>49-9041</w:t>
            </w:r>
          </w:p>
        </w:tc>
        <w:tc>
          <w:tcPr>
            <w:tcW w:w="1956" w:type="pct"/>
            <w:tcBorders>
              <w:left w:val="single" w:sz="8" w:space="0" w:color="7BA0CD" w:themeColor="accent1" w:themeTint="BF"/>
              <w:right w:val="single" w:sz="8" w:space="0" w:color="7BA0CD" w:themeColor="accent1" w:themeTint="BF"/>
            </w:tcBorders>
            <w:noWrap/>
          </w:tcPr>
          <w:p w14:paraId="05BB678C" w14:textId="66670D57" w:rsidR="009715AA" w:rsidRPr="00284D6F"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604CBD">
              <w:t>Industrial Machinery Mechanics</w:t>
            </w:r>
          </w:p>
        </w:tc>
        <w:tc>
          <w:tcPr>
            <w:tcW w:w="544" w:type="pct"/>
            <w:tcBorders>
              <w:left w:val="single" w:sz="8" w:space="0" w:color="7BA0CD" w:themeColor="accent1" w:themeTint="BF"/>
              <w:right w:val="single" w:sz="8" w:space="0" w:color="7BA0CD" w:themeColor="accent1" w:themeTint="BF"/>
            </w:tcBorders>
            <w:noWrap/>
          </w:tcPr>
          <w:p w14:paraId="018007F5" w14:textId="7CAAB133"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77</w:t>
            </w:r>
          </w:p>
        </w:tc>
        <w:tc>
          <w:tcPr>
            <w:tcW w:w="635" w:type="pct"/>
            <w:tcBorders>
              <w:left w:val="single" w:sz="8" w:space="0" w:color="7BA0CD" w:themeColor="accent1" w:themeTint="BF"/>
              <w:right w:val="single" w:sz="8" w:space="0" w:color="7BA0CD" w:themeColor="accent1" w:themeTint="BF"/>
            </w:tcBorders>
            <w:noWrap/>
          </w:tcPr>
          <w:p w14:paraId="27BDE7EB" w14:textId="76CC6F06"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13</w:t>
            </w:r>
          </w:p>
        </w:tc>
        <w:tc>
          <w:tcPr>
            <w:tcW w:w="318" w:type="pct"/>
            <w:tcBorders>
              <w:left w:val="single" w:sz="8" w:space="0" w:color="7BA0CD" w:themeColor="accent1" w:themeTint="BF"/>
              <w:right w:val="single" w:sz="8" w:space="0" w:color="7BA0CD" w:themeColor="accent1" w:themeTint="BF"/>
            </w:tcBorders>
            <w:noWrap/>
          </w:tcPr>
          <w:p w14:paraId="3B76F8C4" w14:textId="036665ED"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64</w:t>
            </w:r>
          </w:p>
        </w:tc>
        <w:tc>
          <w:tcPr>
            <w:tcW w:w="499" w:type="pct"/>
            <w:tcBorders>
              <w:left w:val="single" w:sz="8" w:space="0" w:color="7BA0CD" w:themeColor="accent1" w:themeTint="BF"/>
              <w:right w:val="single" w:sz="8" w:space="0" w:color="7BA0CD" w:themeColor="accent1" w:themeTint="BF"/>
            </w:tcBorders>
          </w:tcPr>
          <w:p w14:paraId="5E3246BD" w14:textId="42B301FB"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 xml:space="preserve">$22.40 </w:t>
            </w:r>
          </w:p>
        </w:tc>
        <w:tc>
          <w:tcPr>
            <w:tcW w:w="590" w:type="pct"/>
            <w:tcBorders>
              <w:left w:val="single" w:sz="8" w:space="0" w:color="7BA0CD" w:themeColor="accent1" w:themeTint="BF"/>
            </w:tcBorders>
          </w:tcPr>
          <w:p w14:paraId="49D0A67D" w14:textId="3DD76D0D"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604CBD">
              <w:t>Certificate</w:t>
            </w:r>
          </w:p>
        </w:tc>
      </w:tr>
      <w:tr w:rsidR="009715AA" w:rsidRPr="008A7DB3" w14:paraId="5206D1D1"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04479586" w14:textId="0FFD64C1" w:rsidR="009715AA" w:rsidRPr="00284D6F" w:rsidRDefault="009715AA" w:rsidP="006C0F11">
            <w:pPr>
              <w:pStyle w:val="Tablenormalleft"/>
              <w:jc w:val="left"/>
              <w:rPr>
                <w:szCs w:val="18"/>
              </w:rPr>
            </w:pPr>
            <w:r w:rsidRPr="00604CBD">
              <w:t>47-2031</w:t>
            </w:r>
          </w:p>
        </w:tc>
        <w:tc>
          <w:tcPr>
            <w:tcW w:w="1956" w:type="pct"/>
            <w:tcBorders>
              <w:left w:val="single" w:sz="8" w:space="0" w:color="7BA0CD" w:themeColor="accent1" w:themeTint="BF"/>
              <w:right w:val="single" w:sz="8" w:space="0" w:color="7BA0CD" w:themeColor="accent1" w:themeTint="BF"/>
            </w:tcBorders>
            <w:noWrap/>
          </w:tcPr>
          <w:p w14:paraId="493FD719" w14:textId="62BAE400"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Carpenters</w:t>
            </w:r>
          </w:p>
        </w:tc>
        <w:tc>
          <w:tcPr>
            <w:tcW w:w="544" w:type="pct"/>
            <w:tcBorders>
              <w:left w:val="single" w:sz="8" w:space="0" w:color="7BA0CD" w:themeColor="accent1" w:themeTint="BF"/>
              <w:right w:val="single" w:sz="8" w:space="0" w:color="7BA0CD" w:themeColor="accent1" w:themeTint="BF"/>
            </w:tcBorders>
            <w:noWrap/>
          </w:tcPr>
          <w:p w14:paraId="312BB45F" w14:textId="7615951F"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46</w:t>
            </w:r>
          </w:p>
        </w:tc>
        <w:tc>
          <w:tcPr>
            <w:tcW w:w="635" w:type="pct"/>
            <w:tcBorders>
              <w:left w:val="single" w:sz="8" w:space="0" w:color="7BA0CD" w:themeColor="accent1" w:themeTint="BF"/>
              <w:right w:val="single" w:sz="8" w:space="0" w:color="7BA0CD" w:themeColor="accent1" w:themeTint="BF"/>
            </w:tcBorders>
            <w:noWrap/>
          </w:tcPr>
          <w:p w14:paraId="74B375A1" w14:textId="605D3060"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23B48884" w14:textId="45E00B05"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46</w:t>
            </w:r>
          </w:p>
        </w:tc>
        <w:tc>
          <w:tcPr>
            <w:tcW w:w="499" w:type="pct"/>
            <w:tcBorders>
              <w:left w:val="single" w:sz="8" w:space="0" w:color="7BA0CD" w:themeColor="accent1" w:themeTint="BF"/>
              <w:right w:val="single" w:sz="8" w:space="0" w:color="7BA0CD" w:themeColor="accent1" w:themeTint="BF"/>
            </w:tcBorders>
          </w:tcPr>
          <w:p w14:paraId="5FE60080" w14:textId="70411AC4"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 xml:space="preserve">$17.72 </w:t>
            </w:r>
          </w:p>
        </w:tc>
        <w:tc>
          <w:tcPr>
            <w:tcW w:w="590" w:type="pct"/>
            <w:tcBorders>
              <w:left w:val="single" w:sz="8" w:space="0" w:color="7BA0CD" w:themeColor="accent1" w:themeTint="BF"/>
            </w:tcBorders>
          </w:tcPr>
          <w:p w14:paraId="15AE1275" w14:textId="5BAE22C1"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Certificate</w:t>
            </w:r>
          </w:p>
        </w:tc>
      </w:tr>
      <w:tr w:rsidR="009715AA" w:rsidRPr="008A7DB3" w14:paraId="4FA1FD47"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7DF1E355" w14:textId="155A8638" w:rsidR="009715AA" w:rsidRPr="00284D6F" w:rsidRDefault="009715AA" w:rsidP="006C0F11">
            <w:pPr>
              <w:pStyle w:val="Tablenormalleft"/>
              <w:jc w:val="left"/>
              <w:rPr>
                <w:szCs w:val="18"/>
              </w:rPr>
            </w:pPr>
            <w:r w:rsidRPr="00604CBD">
              <w:t>51-1011</w:t>
            </w:r>
          </w:p>
        </w:tc>
        <w:tc>
          <w:tcPr>
            <w:tcW w:w="1956" w:type="pct"/>
            <w:tcBorders>
              <w:left w:val="single" w:sz="8" w:space="0" w:color="7BA0CD" w:themeColor="accent1" w:themeTint="BF"/>
              <w:right w:val="single" w:sz="8" w:space="0" w:color="7BA0CD" w:themeColor="accent1" w:themeTint="BF"/>
            </w:tcBorders>
            <w:noWrap/>
          </w:tcPr>
          <w:p w14:paraId="43AB3B59" w14:textId="2A8249F3" w:rsidR="009715AA" w:rsidRPr="00284D6F"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604CBD">
              <w:t>First-Line Supervisors of Production and Operating Workers</w:t>
            </w:r>
          </w:p>
        </w:tc>
        <w:tc>
          <w:tcPr>
            <w:tcW w:w="544" w:type="pct"/>
            <w:tcBorders>
              <w:left w:val="single" w:sz="8" w:space="0" w:color="7BA0CD" w:themeColor="accent1" w:themeTint="BF"/>
              <w:right w:val="single" w:sz="8" w:space="0" w:color="7BA0CD" w:themeColor="accent1" w:themeTint="BF"/>
            </w:tcBorders>
            <w:noWrap/>
          </w:tcPr>
          <w:p w14:paraId="1B10AEC2" w14:textId="4F14E58D"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40</w:t>
            </w:r>
          </w:p>
        </w:tc>
        <w:tc>
          <w:tcPr>
            <w:tcW w:w="635" w:type="pct"/>
            <w:tcBorders>
              <w:left w:val="single" w:sz="8" w:space="0" w:color="7BA0CD" w:themeColor="accent1" w:themeTint="BF"/>
              <w:right w:val="single" w:sz="8" w:space="0" w:color="7BA0CD" w:themeColor="accent1" w:themeTint="BF"/>
            </w:tcBorders>
            <w:noWrap/>
          </w:tcPr>
          <w:p w14:paraId="6A0D11C1" w14:textId="60395DF5"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126F0BAF" w14:textId="253B175C"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40</w:t>
            </w:r>
          </w:p>
        </w:tc>
        <w:tc>
          <w:tcPr>
            <w:tcW w:w="499" w:type="pct"/>
            <w:tcBorders>
              <w:left w:val="single" w:sz="8" w:space="0" w:color="7BA0CD" w:themeColor="accent1" w:themeTint="BF"/>
              <w:right w:val="single" w:sz="8" w:space="0" w:color="7BA0CD" w:themeColor="accent1" w:themeTint="BF"/>
            </w:tcBorders>
          </w:tcPr>
          <w:p w14:paraId="491FE1A2" w14:textId="6C1CA499"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 xml:space="preserve">$24.61 </w:t>
            </w:r>
          </w:p>
        </w:tc>
        <w:tc>
          <w:tcPr>
            <w:tcW w:w="590" w:type="pct"/>
            <w:tcBorders>
              <w:left w:val="single" w:sz="8" w:space="0" w:color="7BA0CD" w:themeColor="accent1" w:themeTint="BF"/>
            </w:tcBorders>
          </w:tcPr>
          <w:p w14:paraId="671FF25E" w14:textId="2B0046EE"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Certificate</w:t>
            </w:r>
          </w:p>
        </w:tc>
      </w:tr>
      <w:tr w:rsidR="009715AA" w:rsidRPr="008A7DB3" w14:paraId="7EDFCFA1"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51A21F50" w14:textId="5E32BCCB" w:rsidR="009715AA" w:rsidRPr="00284D6F" w:rsidRDefault="009715AA" w:rsidP="006C0F11">
            <w:pPr>
              <w:pStyle w:val="Tablenormalleft"/>
              <w:jc w:val="left"/>
              <w:rPr>
                <w:szCs w:val="18"/>
              </w:rPr>
            </w:pPr>
            <w:r w:rsidRPr="00604CBD">
              <w:t>43-5032</w:t>
            </w:r>
          </w:p>
        </w:tc>
        <w:tc>
          <w:tcPr>
            <w:tcW w:w="1956" w:type="pct"/>
            <w:tcBorders>
              <w:left w:val="single" w:sz="8" w:space="0" w:color="7BA0CD" w:themeColor="accent1" w:themeTint="BF"/>
              <w:right w:val="single" w:sz="8" w:space="0" w:color="7BA0CD" w:themeColor="accent1" w:themeTint="BF"/>
            </w:tcBorders>
            <w:noWrap/>
          </w:tcPr>
          <w:p w14:paraId="53983121" w14:textId="15FA0AD0"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Dispatchers, Except Police, Fire, and Ambulance</w:t>
            </w:r>
          </w:p>
        </w:tc>
        <w:tc>
          <w:tcPr>
            <w:tcW w:w="544" w:type="pct"/>
            <w:tcBorders>
              <w:left w:val="single" w:sz="8" w:space="0" w:color="7BA0CD" w:themeColor="accent1" w:themeTint="BF"/>
              <w:right w:val="single" w:sz="8" w:space="0" w:color="7BA0CD" w:themeColor="accent1" w:themeTint="BF"/>
            </w:tcBorders>
            <w:noWrap/>
          </w:tcPr>
          <w:p w14:paraId="10A19C81" w14:textId="4E2B0A09"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37</w:t>
            </w:r>
          </w:p>
        </w:tc>
        <w:tc>
          <w:tcPr>
            <w:tcW w:w="635" w:type="pct"/>
            <w:tcBorders>
              <w:left w:val="single" w:sz="8" w:space="0" w:color="7BA0CD" w:themeColor="accent1" w:themeTint="BF"/>
              <w:right w:val="single" w:sz="8" w:space="0" w:color="7BA0CD" w:themeColor="accent1" w:themeTint="BF"/>
            </w:tcBorders>
            <w:noWrap/>
          </w:tcPr>
          <w:p w14:paraId="22FDA85A" w14:textId="2984E77D"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783053F7" w14:textId="344A632D"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37</w:t>
            </w:r>
          </w:p>
        </w:tc>
        <w:tc>
          <w:tcPr>
            <w:tcW w:w="499" w:type="pct"/>
            <w:tcBorders>
              <w:left w:val="single" w:sz="8" w:space="0" w:color="7BA0CD" w:themeColor="accent1" w:themeTint="BF"/>
              <w:right w:val="single" w:sz="8" w:space="0" w:color="7BA0CD" w:themeColor="accent1" w:themeTint="BF"/>
            </w:tcBorders>
          </w:tcPr>
          <w:p w14:paraId="711231AC" w14:textId="2F1323B1"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 xml:space="preserve">$17.93 </w:t>
            </w:r>
          </w:p>
        </w:tc>
        <w:tc>
          <w:tcPr>
            <w:tcW w:w="590" w:type="pct"/>
            <w:tcBorders>
              <w:left w:val="single" w:sz="8" w:space="0" w:color="7BA0CD" w:themeColor="accent1" w:themeTint="BF"/>
            </w:tcBorders>
          </w:tcPr>
          <w:p w14:paraId="620898EE" w14:textId="0047A240"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Certificate</w:t>
            </w:r>
          </w:p>
        </w:tc>
      </w:tr>
      <w:tr w:rsidR="009715AA" w:rsidRPr="008A7DB3" w14:paraId="671D3580"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1F6C0399" w14:textId="3BA55345" w:rsidR="009715AA" w:rsidRPr="00284D6F" w:rsidRDefault="009715AA" w:rsidP="006C0F11">
            <w:pPr>
              <w:pStyle w:val="Tablenormalleft"/>
              <w:jc w:val="left"/>
              <w:rPr>
                <w:szCs w:val="18"/>
              </w:rPr>
            </w:pPr>
            <w:r w:rsidRPr="00604CBD">
              <w:t>49-9051</w:t>
            </w:r>
          </w:p>
        </w:tc>
        <w:tc>
          <w:tcPr>
            <w:tcW w:w="1956" w:type="pct"/>
            <w:tcBorders>
              <w:left w:val="single" w:sz="8" w:space="0" w:color="7BA0CD" w:themeColor="accent1" w:themeTint="BF"/>
              <w:right w:val="single" w:sz="8" w:space="0" w:color="7BA0CD" w:themeColor="accent1" w:themeTint="BF"/>
            </w:tcBorders>
            <w:noWrap/>
          </w:tcPr>
          <w:p w14:paraId="0DD2D116" w14:textId="308CB697" w:rsidR="009715AA" w:rsidRPr="00284D6F"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604CBD">
              <w:t>Electrical Power-Line Installers and Repairers</w:t>
            </w:r>
          </w:p>
        </w:tc>
        <w:tc>
          <w:tcPr>
            <w:tcW w:w="544" w:type="pct"/>
            <w:tcBorders>
              <w:left w:val="single" w:sz="8" w:space="0" w:color="7BA0CD" w:themeColor="accent1" w:themeTint="BF"/>
              <w:right w:val="single" w:sz="8" w:space="0" w:color="7BA0CD" w:themeColor="accent1" w:themeTint="BF"/>
            </w:tcBorders>
            <w:noWrap/>
          </w:tcPr>
          <w:p w14:paraId="6BABFDED" w14:textId="01AD0821"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32</w:t>
            </w:r>
          </w:p>
        </w:tc>
        <w:tc>
          <w:tcPr>
            <w:tcW w:w="635" w:type="pct"/>
            <w:tcBorders>
              <w:left w:val="single" w:sz="8" w:space="0" w:color="7BA0CD" w:themeColor="accent1" w:themeTint="BF"/>
              <w:right w:val="single" w:sz="8" w:space="0" w:color="7BA0CD" w:themeColor="accent1" w:themeTint="BF"/>
            </w:tcBorders>
            <w:noWrap/>
          </w:tcPr>
          <w:p w14:paraId="40394B22" w14:textId="18C5A904"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71042FB0" w14:textId="6390E31C"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32</w:t>
            </w:r>
          </w:p>
        </w:tc>
        <w:tc>
          <w:tcPr>
            <w:tcW w:w="499" w:type="pct"/>
            <w:tcBorders>
              <w:left w:val="single" w:sz="8" w:space="0" w:color="7BA0CD" w:themeColor="accent1" w:themeTint="BF"/>
              <w:right w:val="single" w:sz="8" w:space="0" w:color="7BA0CD" w:themeColor="accent1" w:themeTint="BF"/>
            </w:tcBorders>
          </w:tcPr>
          <w:p w14:paraId="48A6790F" w14:textId="7BB5C0DC"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 xml:space="preserve">$39.62 </w:t>
            </w:r>
          </w:p>
        </w:tc>
        <w:tc>
          <w:tcPr>
            <w:tcW w:w="590" w:type="pct"/>
            <w:tcBorders>
              <w:left w:val="single" w:sz="8" w:space="0" w:color="7BA0CD" w:themeColor="accent1" w:themeTint="BF"/>
            </w:tcBorders>
          </w:tcPr>
          <w:p w14:paraId="357F1389" w14:textId="5BFD4CE8"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Certificate</w:t>
            </w:r>
          </w:p>
        </w:tc>
      </w:tr>
      <w:tr w:rsidR="009715AA" w:rsidRPr="008A7DB3" w14:paraId="38C9FAF1"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48B291FA" w14:textId="7FF33935" w:rsidR="009715AA" w:rsidRPr="00284D6F" w:rsidRDefault="009715AA" w:rsidP="006C0F11">
            <w:pPr>
              <w:pStyle w:val="Tablenormalleft"/>
              <w:jc w:val="left"/>
              <w:rPr>
                <w:szCs w:val="18"/>
              </w:rPr>
            </w:pPr>
            <w:r w:rsidRPr="00604CBD">
              <w:t>13-1199</w:t>
            </w:r>
          </w:p>
        </w:tc>
        <w:tc>
          <w:tcPr>
            <w:tcW w:w="1956" w:type="pct"/>
            <w:tcBorders>
              <w:left w:val="single" w:sz="8" w:space="0" w:color="7BA0CD" w:themeColor="accent1" w:themeTint="BF"/>
              <w:right w:val="single" w:sz="8" w:space="0" w:color="7BA0CD" w:themeColor="accent1" w:themeTint="BF"/>
            </w:tcBorders>
            <w:noWrap/>
          </w:tcPr>
          <w:p w14:paraId="05970BD3" w14:textId="1D8F3107"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Business Operations Specialists, All Other</w:t>
            </w:r>
          </w:p>
        </w:tc>
        <w:tc>
          <w:tcPr>
            <w:tcW w:w="544" w:type="pct"/>
            <w:tcBorders>
              <w:left w:val="single" w:sz="8" w:space="0" w:color="7BA0CD" w:themeColor="accent1" w:themeTint="BF"/>
              <w:right w:val="single" w:sz="8" w:space="0" w:color="7BA0CD" w:themeColor="accent1" w:themeTint="BF"/>
            </w:tcBorders>
            <w:noWrap/>
          </w:tcPr>
          <w:p w14:paraId="0EAD55A1" w14:textId="7984F82D"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26</w:t>
            </w:r>
          </w:p>
        </w:tc>
        <w:tc>
          <w:tcPr>
            <w:tcW w:w="635" w:type="pct"/>
            <w:tcBorders>
              <w:left w:val="single" w:sz="8" w:space="0" w:color="7BA0CD" w:themeColor="accent1" w:themeTint="BF"/>
              <w:right w:val="single" w:sz="8" w:space="0" w:color="7BA0CD" w:themeColor="accent1" w:themeTint="BF"/>
            </w:tcBorders>
            <w:noWrap/>
          </w:tcPr>
          <w:p w14:paraId="2ABAA8E7" w14:textId="7D28C392"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55EE6E39" w14:textId="7DB2B92E"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26</w:t>
            </w:r>
          </w:p>
        </w:tc>
        <w:tc>
          <w:tcPr>
            <w:tcW w:w="499" w:type="pct"/>
            <w:tcBorders>
              <w:left w:val="single" w:sz="8" w:space="0" w:color="7BA0CD" w:themeColor="accent1" w:themeTint="BF"/>
              <w:right w:val="single" w:sz="8" w:space="0" w:color="7BA0CD" w:themeColor="accent1" w:themeTint="BF"/>
            </w:tcBorders>
          </w:tcPr>
          <w:p w14:paraId="37076569" w14:textId="119CC700"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 xml:space="preserve">$28.52 </w:t>
            </w:r>
          </w:p>
        </w:tc>
        <w:tc>
          <w:tcPr>
            <w:tcW w:w="590" w:type="pct"/>
            <w:tcBorders>
              <w:left w:val="single" w:sz="8" w:space="0" w:color="7BA0CD" w:themeColor="accent1" w:themeTint="BF"/>
            </w:tcBorders>
          </w:tcPr>
          <w:p w14:paraId="31CA4BC8" w14:textId="5E11F753"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Certificate</w:t>
            </w:r>
          </w:p>
        </w:tc>
      </w:tr>
      <w:tr w:rsidR="009715AA" w:rsidRPr="008A7DB3" w14:paraId="215DACC3"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7B709384" w14:textId="213A8192" w:rsidR="009715AA" w:rsidRPr="00284D6F" w:rsidRDefault="009715AA" w:rsidP="006C0F11">
            <w:pPr>
              <w:pStyle w:val="Tablenormalleft"/>
              <w:jc w:val="left"/>
              <w:rPr>
                <w:szCs w:val="18"/>
              </w:rPr>
            </w:pPr>
            <w:r w:rsidRPr="00604CBD">
              <w:t>33-9092</w:t>
            </w:r>
          </w:p>
        </w:tc>
        <w:tc>
          <w:tcPr>
            <w:tcW w:w="1956" w:type="pct"/>
            <w:tcBorders>
              <w:left w:val="single" w:sz="8" w:space="0" w:color="7BA0CD" w:themeColor="accent1" w:themeTint="BF"/>
              <w:right w:val="single" w:sz="8" w:space="0" w:color="7BA0CD" w:themeColor="accent1" w:themeTint="BF"/>
            </w:tcBorders>
            <w:noWrap/>
          </w:tcPr>
          <w:p w14:paraId="28D81F7F" w14:textId="229D868E" w:rsidR="009715AA" w:rsidRPr="00284D6F"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604CBD">
              <w:t>Lifeguards, Ski Patrol, and Other Recreational Protective Service Workers</w:t>
            </w:r>
          </w:p>
        </w:tc>
        <w:tc>
          <w:tcPr>
            <w:tcW w:w="544" w:type="pct"/>
            <w:tcBorders>
              <w:left w:val="single" w:sz="8" w:space="0" w:color="7BA0CD" w:themeColor="accent1" w:themeTint="BF"/>
              <w:right w:val="single" w:sz="8" w:space="0" w:color="7BA0CD" w:themeColor="accent1" w:themeTint="BF"/>
            </w:tcBorders>
            <w:noWrap/>
          </w:tcPr>
          <w:p w14:paraId="063D1E3C" w14:textId="77454576"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28</w:t>
            </w:r>
          </w:p>
        </w:tc>
        <w:tc>
          <w:tcPr>
            <w:tcW w:w="635" w:type="pct"/>
            <w:tcBorders>
              <w:left w:val="single" w:sz="8" w:space="0" w:color="7BA0CD" w:themeColor="accent1" w:themeTint="BF"/>
              <w:right w:val="single" w:sz="8" w:space="0" w:color="7BA0CD" w:themeColor="accent1" w:themeTint="BF"/>
            </w:tcBorders>
            <w:noWrap/>
          </w:tcPr>
          <w:p w14:paraId="71BDA821" w14:textId="46BFCD14"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13E7ED02" w14:textId="66B4280D"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28</w:t>
            </w:r>
          </w:p>
        </w:tc>
        <w:tc>
          <w:tcPr>
            <w:tcW w:w="499" w:type="pct"/>
            <w:tcBorders>
              <w:left w:val="single" w:sz="8" w:space="0" w:color="7BA0CD" w:themeColor="accent1" w:themeTint="BF"/>
              <w:right w:val="single" w:sz="8" w:space="0" w:color="7BA0CD" w:themeColor="accent1" w:themeTint="BF"/>
            </w:tcBorders>
          </w:tcPr>
          <w:p w14:paraId="437C124F" w14:textId="23DC0F67"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 xml:space="preserve">$12.43 </w:t>
            </w:r>
          </w:p>
        </w:tc>
        <w:tc>
          <w:tcPr>
            <w:tcW w:w="590" w:type="pct"/>
            <w:tcBorders>
              <w:left w:val="single" w:sz="8" w:space="0" w:color="7BA0CD" w:themeColor="accent1" w:themeTint="BF"/>
            </w:tcBorders>
          </w:tcPr>
          <w:p w14:paraId="09D73D77" w14:textId="732E4E43"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Certificate</w:t>
            </w:r>
          </w:p>
        </w:tc>
      </w:tr>
      <w:tr w:rsidR="009715AA" w:rsidRPr="008A7DB3" w14:paraId="74E8E9A4"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62E20099" w14:textId="2F3562F0" w:rsidR="009715AA" w:rsidRPr="00284D6F" w:rsidRDefault="009715AA" w:rsidP="006C0F11">
            <w:pPr>
              <w:pStyle w:val="Tablenormalleft"/>
              <w:jc w:val="left"/>
              <w:rPr>
                <w:szCs w:val="18"/>
              </w:rPr>
            </w:pPr>
            <w:r w:rsidRPr="00604CBD">
              <w:t>49-2022</w:t>
            </w:r>
          </w:p>
        </w:tc>
        <w:tc>
          <w:tcPr>
            <w:tcW w:w="1956" w:type="pct"/>
            <w:tcBorders>
              <w:left w:val="single" w:sz="8" w:space="0" w:color="7BA0CD" w:themeColor="accent1" w:themeTint="BF"/>
              <w:right w:val="single" w:sz="8" w:space="0" w:color="7BA0CD" w:themeColor="accent1" w:themeTint="BF"/>
            </w:tcBorders>
            <w:noWrap/>
          </w:tcPr>
          <w:p w14:paraId="133DDAC1" w14:textId="4F118B62"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Telecommunications Equipment Installers and Repairers, Except Line Installers</w:t>
            </w:r>
          </w:p>
        </w:tc>
        <w:tc>
          <w:tcPr>
            <w:tcW w:w="544" w:type="pct"/>
            <w:tcBorders>
              <w:left w:val="single" w:sz="8" w:space="0" w:color="7BA0CD" w:themeColor="accent1" w:themeTint="BF"/>
              <w:right w:val="single" w:sz="8" w:space="0" w:color="7BA0CD" w:themeColor="accent1" w:themeTint="BF"/>
            </w:tcBorders>
            <w:noWrap/>
          </w:tcPr>
          <w:p w14:paraId="46FDEA8A" w14:textId="49CAF259"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23</w:t>
            </w:r>
          </w:p>
        </w:tc>
        <w:tc>
          <w:tcPr>
            <w:tcW w:w="635" w:type="pct"/>
            <w:tcBorders>
              <w:left w:val="single" w:sz="8" w:space="0" w:color="7BA0CD" w:themeColor="accent1" w:themeTint="BF"/>
              <w:right w:val="single" w:sz="8" w:space="0" w:color="7BA0CD" w:themeColor="accent1" w:themeTint="BF"/>
            </w:tcBorders>
            <w:noWrap/>
          </w:tcPr>
          <w:p w14:paraId="161B9477" w14:textId="2C0EC0C2"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3B1B5506" w14:textId="6BA548A2"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23</w:t>
            </w:r>
          </w:p>
        </w:tc>
        <w:tc>
          <w:tcPr>
            <w:tcW w:w="499" w:type="pct"/>
            <w:tcBorders>
              <w:left w:val="single" w:sz="8" w:space="0" w:color="7BA0CD" w:themeColor="accent1" w:themeTint="BF"/>
              <w:right w:val="single" w:sz="8" w:space="0" w:color="7BA0CD" w:themeColor="accent1" w:themeTint="BF"/>
            </w:tcBorders>
          </w:tcPr>
          <w:p w14:paraId="22999F13" w14:textId="406ADC5B"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 xml:space="preserve">$28.54 </w:t>
            </w:r>
          </w:p>
        </w:tc>
        <w:tc>
          <w:tcPr>
            <w:tcW w:w="590" w:type="pct"/>
            <w:tcBorders>
              <w:left w:val="single" w:sz="8" w:space="0" w:color="7BA0CD" w:themeColor="accent1" w:themeTint="BF"/>
            </w:tcBorders>
          </w:tcPr>
          <w:p w14:paraId="7A7851D9" w14:textId="7BC8D0E8"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Certificate</w:t>
            </w:r>
          </w:p>
        </w:tc>
      </w:tr>
      <w:tr w:rsidR="009715AA" w:rsidRPr="008A7DB3" w14:paraId="5FE697A7"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2A8E0A5A" w14:textId="3690366A" w:rsidR="009715AA" w:rsidRPr="00284D6F" w:rsidRDefault="009715AA" w:rsidP="006C0F11">
            <w:pPr>
              <w:pStyle w:val="Tablenormalleft"/>
              <w:jc w:val="left"/>
              <w:rPr>
                <w:szCs w:val="18"/>
              </w:rPr>
            </w:pPr>
            <w:r w:rsidRPr="00604CBD">
              <w:t>47-2181</w:t>
            </w:r>
          </w:p>
        </w:tc>
        <w:tc>
          <w:tcPr>
            <w:tcW w:w="1956" w:type="pct"/>
            <w:tcBorders>
              <w:left w:val="single" w:sz="8" w:space="0" w:color="7BA0CD" w:themeColor="accent1" w:themeTint="BF"/>
              <w:right w:val="single" w:sz="8" w:space="0" w:color="7BA0CD" w:themeColor="accent1" w:themeTint="BF"/>
            </w:tcBorders>
            <w:noWrap/>
          </w:tcPr>
          <w:p w14:paraId="262FD698" w14:textId="523FF1DB" w:rsidR="009715AA" w:rsidRPr="00284D6F"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604CBD">
              <w:t>Roofers</w:t>
            </w:r>
          </w:p>
        </w:tc>
        <w:tc>
          <w:tcPr>
            <w:tcW w:w="544" w:type="pct"/>
            <w:tcBorders>
              <w:left w:val="single" w:sz="8" w:space="0" w:color="7BA0CD" w:themeColor="accent1" w:themeTint="BF"/>
              <w:right w:val="single" w:sz="8" w:space="0" w:color="7BA0CD" w:themeColor="accent1" w:themeTint="BF"/>
            </w:tcBorders>
            <w:noWrap/>
          </w:tcPr>
          <w:p w14:paraId="14484C07" w14:textId="5B7B441D"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28</w:t>
            </w:r>
          </w:p>
        </w:tc>
        <w:tc>
          <w:tcPr>
            <w:tcW w:w="635" w:type="pct"/>
            <w:tcBorders>
              <w:left w:val="single" w:sz="8" w:space="0" w:color="7BA0CD" w:themeColor="accent1" w:themeTint="BF"/>
              <w:right w:val="single" w:sz="8" w:space="0" w:color="7BA0CD" w:themeColor="accent1" w:themeTint="BF"/>
            </w:tcBorders>
            <w:noWrap/>
          </w:tcPr>
          <w:p w14:paraId="349974F9" w14:textId="0DE84C61"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7E29326B" w14:textId="1F54EC11"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28</w:t>
            </w:r>
          </w:p>
        </w:tc>
        <w:tc>
          <w:tcPr>
            <w:tcW w:w="499" w:type="pct"/>
            <w:tcBorders>
              <w:left w:val="single" w:sz="8" w:space="0" w:color="7BA0CD" w:themeColor="accent1" w:themeTint="BF"/>
              <w:right w:val="single" w:sz="8" w:space="0" w:color="7BA0CD" w:themeColor="accent1" w:themeTint="BF"/>
            </w:tcBorders>
          </w:tcPr>
          <w:p w14:paraId="0D803B65" w14:textId="1673DEFE"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 xml:space="preserve">$20.97 </w:t>
            </w:r>
          </w:p>
        </w:tc>
        <w:tc>
          <w:tcPr>
            <w:tcW w:w="590" w:type="pct"/>
            <w:tcBorders>
              <w:left w:val="single" w:sz="8" w:space="0" w:color="7BA0CD" w:themeColor="accent1" w:themeTint="BF"/>
            </w:tcBorders>
          </w:tcPr>
          <w:p w14:paraId="0B734339" w14:textId="56235D20"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Certificate</w:t>
            </w:r>
          </w:p>
        </w:tc>
      </w:tr>
      <w:tr w:rsidR="009715AA" w:rsidRPr="008A7DB3" w14:paraId="6C977DA6"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7E3EDE4F" w14:textId="2F671D6C" w:rsidR="009715AA" w:rsidRPr="00284D6F" w:rsidRDefault="009715AA" w:rsidP="006C0F11">
            <w:pPr>
              <w:pStyle w:val="Tablenormalleft"/>
              <w:jc w:val="left"/>
              <w:rPr>
                <w:szCs w:val="18"/>
              </w:rPr>
            </w:pPr>
            <w:r w:rsidRPr="00604CBD">
              <w:t>49-9052</w:t>
            </w:r>
          </w:p>
        </w:tc>
        <w:tc>
          <w:tcPr>
            <w:tcW w:w="1956" w:type="pct"/>
            <w:tcBorders>
              <w:left w:val="single" w:sz="8" w:space="0" w:color="7BA0CD" w:themeColor="accent1" w:themeTint="BF"/>
              <w:right w:val="single" w:sz="8" w:space="0" w:color="7BA0CD" w:themeColor="accent1" w:themeTint="BF"/>
            </w:tcBorders>
            <w:noWrap/>
          </w:tcPr>
          <w:p w14:paraId="4CE37050" w14:textId="3BF81B1D"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Telecommunications Line Installers and Repairers</w:t>
            </w:r>
          </w:p>
        </w:tc>
        <w:tc>
          <w:tcPr>
            <w:tcW w:w="544" w:type="pct"/>
            <w:tcBorders>
              <w:left w:val="single" w:sz="8" w:space="0" w:color="7BA0CD" w:themeColor="accent1" w:themeTint="BF"/>
              <w:right w:val="single" w:sz="8" w:space="0" w:color="7BA0CD" w:themeColor="accent1" w:themeTint="BF"/>
            </w:tcBorders>
            <w:noWrap/>
          </w:tcPr>
          <w:p w14:paraId="4C589164" w14:textId="6482918C"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22</w:t>
            </w:r>
          </w:p>
        </w:tc>
        <w:tc>
          <w:tcPr>
            <w:tcW w:w="635" w:type="pct"/>
            <w:tcBorders>
              <w:left w:val="single" w:sz="8" w:space="0" w:color="7BA0CD" w:themeColor="accent1" w:themeTint="BF"/>
              <w:right w:val="single" w:sz="8" w:space="0" w:color="7BA0CD" w:themeColor="accent1" w:themeTint="BF"/>
            </w:tcBorders>
            <w:noWrap/>
          </w:tcPr>
          <w:p w14:paraId="7CCE8B7B" w14:textId="7A694279"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0</w:t>
            </w:r>
          </w:p>
        </w:tc>
        <w:tc>
          <w:tcPr>
            <w:tcW w:w="318" w:type="pct"/>
            <w:tcBorders>
              <w:left w:val="single" w:sz="8" w:space="0" w:color="7BA0CD" w:themeColor="accent1" w:themeTint="BF"/>
              <w:right w:val="single" w:sz="8" w:space="0" w:color="7BA0CD" w:themeColor="accent1" w:themeTint="BF"/>
            </w:tcBorders>
            <w:noWrap/>
          </w:tcPr>
          <w:p w14:paraId="1AC9EBF1" w14:textId="22B0C898"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22</w:t>
            </w:r>
          </w:p>
        </w:tc>
        <w:tc>
          <w:tcPr>
            <w:tcW w:w="499" w:type="pct"/>
            <w:tcBorders>
              <w:left w:val="single" w:sz="8" w:space="0" w:color="7BA0CD" w:themeColor="accent1" w:themeTint="BF"/>
              <w:right w:val="single" w:sz="8" w:space="0" w:color="7BA0CD" w:themeColor="accent1" w:themeTint="BF"/>
            </w:tcBorders>
          </w:tcPr>
          <w:p w14:paraId="4F6D3293" w14:textId="360B9C46"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 xml:space="preserve">$31.83 </w:t>
            </w:r>
          </w:p>
        </w:tc>
        <w:tc>
          <w:tcPr>
            <w:tcW w:w="590" w:type="pct"/>
            <w:tcBorders>
              <w:left w:val="single" w:sz="8" w:space="0" w:color="7BA0CD" w:themeColor="accent1" w:themeTint="BF"/>
            </w:tcBorders>
          </w:tcPr>
          <w:p w14:paraId="2B3A09D2" w14:textId="4CEDD4F2"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Certificate</w:t>
            </w:r>
          </w:p>
        </w:tc>
      </w:tr>
      <w:tr w:rsidR="009715AA" w:rsidRPr="008A7DB3" w14:paraId="19C53B7A"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4EFC74EA" w14:textId="7209D2B1" w:rsidR="009715AA" w:rsidRPr="00284D6F" w:rsidRDefault="009715AA" w:rsidP="006C0F11">
            <w:pPr>
              <w:pStyle w:val="Tablenormalleft"/>
              <w:jc w:val="left"/>
              <w:rPr>
                <w:szCs w:val="18"/>
              </w:rPr>
            </w:pPr>
            <w:r w:rsidRPr="00604CBD">
              <w:t>25-4031</w:t>
            </w:r>
          </w:p>
        </w:tc>
        <w:tc>
          <w:tcPr>
            <w:tcW w:w="1956" w:type="pct"/>
            <w:tcBorders>
              <w:left w:val="single" w:sz="8" w:space="0" w:color="7BA0CD" w:themeColor="accent1" w:themeTint="BF"/>
              <w:right w:val="single" w:sz="8" w:space="0" w:color="7BA0CD" w:themeColor="accent1" w:themeTint="BF"/>
            </w:tcBorders>
            <w:noWrap/>
          </w:tcPr>
          <w:p w14:paraId="461E2626" w14:textId="4C53CB4D" w:rsidR="009715AA" w:rsidRPr="00284D6F"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604CBD">
              <w:t>Library Technicians</w:t>
            </w:r>
          </w:p>
        </w:tc>
        <w:tc>
          <w:tcPr>
            <w:tcW w:w="544" w:type="pct"/>
            <w:tcBorders>
              <w:left w:val="single" w:sz="8" w:space="0" w:color="7BA0CD" w:themeColor="accent1" w:themeTint="BF"/>
              <w:right w:val="single" w:sz="8" w:space="0" w:color="7BA0CD" w:themeColor="accent1" w:themeTint="BF"/>
            </w:tcBorders>
            <w:noWrap/>
          </w:tcPr>
          <w:p w14:paraId="0DAA6449" w14:textId="53743F70"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26</w:t>
            </w:r>
          </w:p>
        </w:tc>
        <w:tc>
          <w:tcPr>
            <w:tcW w:w="635" w:type="pct"/>
            <w:tcBorders>
              <w:left w:val="single" w:sz="8" w:space="0" w:color="7BA0CD" w:themeColor="accent1" w:themeTint="BF"/>
              <w:right w:val="single" w:sz="8" w:space="0" w:color="7BA0CD" w:themeColor="accent1" w:themeTint="BF"/>
            </w:tcBorders>
            <w:noWrap/>
          </w:tcPr>
          <w:p w14:paraId="5CD60E3F" w14:textId="36010EF9"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6</w:t>
            </w:r>
          </w:p>
        </w:tc>
        <w:tc>
          <w:tcPr>
            <w:tcW w:w="318" w:type="pct"/>
            <w:tcBorders>
              <w:left w:val="single" w:sz="8" w:space="0" w:color="7BA0CD" w:themeColor="accent1" w:themeTint="BF"/>
              <w:right w:val="single" w:sz="8" w:space="0" w:color="7BA0CD" w:themeColor="accent1" w:themeTint="BF"/>
            </w:tcBorders>
            <w:noWrap/>
          </w:tcPr>
          <w:p w14:paraId="1AED7CE7" w14:textId="0D3C065B"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21</w:t>
            </w:r>
          </w:p>
        </w:tc>
        <w:tc>
          <w:tcPr>
            <w:tcW w:w="499" w:type="pct"/>
            <w:tcBorders>
              <w:left w:val="single" w:sz="8" w:space="0" w:color="7BA0CD" w:themeColor="accent1" w:themeTint="BF"/>
              <w:right w:val="single" w:sz="8" w:space="0" w:color="7BA0CD" w:themeColor="accent1" w:themeTint="BF"/>
            </w:tcBorders>
          </w:tcPr>
          <w:p w14:paraId="23DD609E" w14:textId="0BFC8253"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 xml:space="preserve">$17.29 </w:t>
            </w:r>
          </w:p>
        </w:tc>
        <w:tc>
          <w:tcPr>
            <w:tcW w:w="590" w:type="pct"/>
            <w:tcBorders>
              <w:left w:val="single" w:sz="8" w:space="0" w:color="7BA0CD" w:themeColor="accent1" w:themeTint="BF"/>
            </w:tcBorders>
          </w:tcPr>
          <w:p w14:paraId="7ED057CC" w14:textId="0044CBB8" w:rsidR="009715AA" w:rsidRPr="00284D6F" w:rsidRDefault="009715AA" w:rsidP="006C0F1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604CBD">
              <w:t>Certificate</w:t>
            </w:r>
          </w:p>
        </w:tc>
      </w:tr>
      <w:tr w:rsidR="009715AA" w:rsidRPr="008A7DB3" w14:paraId="7B7EF77A"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754E42E4" w14:textId="667FBDCA" w:rsidR="009715AA" w:rsidRPr="00284D6F" w:rsidRDefault="009715AA" w:rsidP="006C0F11">
            <w:pPr>
              <w:pStyle w:val="Tablenormalleft"/>
              <w:jc w:val="left"/>
              <w:rPr>
                <w:szCs w:val="18"/>
              </w:rPr>
            </w:pPr>
            <w:r w:rsidRPr="00604CBD">
              <w:t>29-2012</w:t>
            </w:r>
          </w:p>
        </w:tc>
        <w:tc>
          <w:tcPr>
            <w:tcW w:w="1956" w:type="pct"/>
            <w:tcBorders>
              <w:left w:val="single" w:sz="8" w:space="0" w:color="7BA0CD" w:themeColor="accent1" w:themeTint="BF"/>
              <w:right w:val="single" w:sz="8" w:space="0" w:color="7BA0CD" w:themeColor="accent1" w:themeTint="BF"/>
            </w:tcBorders>
            <w:noWrap/>
          </w:tcPr>
          <w:p w14:paraId="56692D7F" w14:textId="30895234" w:rsidR="009715AA" w:rsidRPr="00284D6F"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604CBD">
              <w:t>Medical and Clinical Laboratory Technicians</w:t>
            </w:r>
          </w:p>
        </w:tc>
        <w:tc>
          <w:tcPr>
            <w:tcW w:w="544" w:type="pct"/>
            <w:tcBorders>
              <w:left w:val="single" w:sz="8" w:space="0" w:color="7BA0CD" w:themeColor="accent1" w:themeTint="BF"/>
              <w:right w:val="single" w:sz="8" w:space="0" w:color="7BA0CD" w:themeColor="accent1" w:themeTint="BF"/>
            </w:tcBorders>
            <w:noWrap/>
          </w:tcPr>
          <w:p w14:paraId="1C0346F7" w14:textId="29623B63"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13</w:t>
            </w:r>
          </w:p>
        </w:tc>
        <w:tc>
          <w:tcPr>
            <w:tcW w:w="635" w:type="pct"/>
            <w:tcBorders>
              <w:left w:val="single" w:sz="8" w:space="0" w:color="7BA0CD" w:themeColor="accent1" w:themeTint="BF"/>
              <w:right w:val="single" w:sz="8" w:space="0" w:color="7BA0CD" w:themeColor="accent1" w:themeTint="BF"/>
            </w:tcBorders>
            <w:noWrap/>
          </w:tcPr>
          <w:p w14:paraId="44C645CD" w14:textId="18FA957A"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3</w:t>
            </w:r>
          </w:p>
        </w:tc>
        <w:tc>
          <w:tcPr>
            <w:tcW w:w="318" w:type="pct"/>
            <w:tcBorders>
              <w:left w:val="single" w:sz="8" w:space="0" w:color="7BA0CD" w:themeColor="accent1" w:themeTint="BF"/>
              <w:right w:val="single" w:sz="8" w:space="0" w:color="7BA0CD" w:themeColor="accent1" w:themeTint="BF"/>
            </w:tcBorders>
            <w:noWrap/>
          </w:tcPr>
          <w:p w14:paraId="05709BAC" w14:textId="572C473F"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10</w:t>
            </w:r>
          </w:p>
        </w:tc>
        <w:tc>
          <w:tcPr>
            <w:tcW w:w="499" w:type="pct"/>
            <w:tcBorders>
              <w:left w:val="single" w:sz="8" w:space="0" w:color="7BA0CD" w:themeColor="accent1" w:themeTint="BF"/>
              <w:right w:val="single" w:sz="8" w:space="0" w:color="7BA0CD" w:themeColor="accent1" w:themeTint="BF"/>
            </w:tcBorders>
          </w:tcPr>
          <w:p w14:paraId="4C10D2ED" w14:textId="5BD6D8F7"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 xml:space="preserve">$16.93 </w:t>
            </w:r>
          </w:p>
        </w:tc>
        <w:tc>
          <w:tcPr>
            <w:tcW w:w="590" w:type="pct"/>
            <w:tcBorders>
              <w:left w:val="single" w:sz="8" w:space="0" w:color="7BA0CD" w:themeColor="accent1" w:themeTint="BF"/>
            </w:tcBorders>
          </w:tcPr>
          <w:p w14:paraId="3C78A5D7" w14:textId="4782ADB0" w:rsidR="009715AA" w:rsidRPr="00284D6F" w:rsidRDefault="009715AA" w:rsidP="006C0F1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604CBD">
              <w:t>Associate</w:t>
            </w:r>
          </w:p>
        </w:tc>
      </w:tr>
      <w:tr w:rsidR="009715AA" w:rsidRPr="008A7DB3" w14:paraId="3B136826"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52FA953F" w14:textId="7F891310" w:rsidR="009715AA" w:rsidRPr="00D605A4" w:rsidRDefault="009715AA" w:rsidP="006C0F11">
            <w:pPr>
              <w:pStyle w:val="Tablenormalleft"/>
              <w:jc w:val="left"/>
            </w:pPr>
            <w:r w:rsidRPr="00604CBD">
              <w:t>29-2032</w:t>
            </w:r>
          </w:p>
        </w:tc>
        <w:tc>
          <w:tcPr>
            <w:tcW w:w="1956" w:type="pct"/>
            <w:tcBorders>
              <w:left w:val="single" w:sz="8" w:space="0" w:color="7BA0CD" w:themeColor="accent1" w:themeTint="BF"/>
              <w:right w:val="single" w:sz="8" w:space="0" w:color="7BA0CD" w:themeColor="accent1" w:themeTint="BF"/>
            </w:tcBorders>
            <w:noWrap/>
          </w:tcPr>
          <w:p w14:paraId="723C7CE2" w14:textId="39653BBD" w:rsidR="009715AA" w:rsidRPr="00D605A4"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pPr>
            <w:r w:rsidRPr="00604CBD">
              <w:t>Diagnostic Medical Sonographers</w:t>
            </w:r>
          </w:p>
        </w:tc>
        <w:tc>
          <w:tcPr>
            <w:tcW w:w="544" w:type="pct"/>
            <w:tcBorders>
              <w:left w:val="single" w:sz="8" w:space="0" w:color="7BA0CD" w:themeColor="accent1" w:themeTint="BF"/>
              <w:right w:val="single" w:sz="8" w:space="0" w:color="7BA0CD" w:themeColor="accent1" w:themeTint="BF"/>
            </w:tcBorders>
            <w:noWrap/>
          </w:tcPr>
          <w:p w14:paraId="158FD2A1" w14:textId="660C41AA"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9</w:t>
            </w:r>
          </w:p>
        </w:tc>
        <w:tc>
          <w:tcPr>
            <w:tcW w:w="635" w:type="pct"/>
            <w:tcBorders>
              <w:left w:val="single" w:sz="8" w:space="0" w:color="7BA0CD" w:themeColor="accent1" w:themeTint="BF"/>
              <w:right w:val="single" w:sz="8" w:space="0" w:color="7BA0CD" w:themeColor="accent1" w:themeTint="BF"/>
            </w:tcBorders>
            <w:noWrap/>
          </w:tcPr>
          <w:p w14:paraId="49902CF3" w14:textId="550357F9"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1</w:t>
            </w:r>
          </w:p>
        </w:tc>
        <w:tc>
          <w:tcPr>
            <w:tcW w:w="318" w:type="pct"/>
            <w:tcBorders>
              <w:left w:val="single" w:sz="8" w:space="0" w:color="7BA0CD" w:themeColor="accent1" w:themeTint="BF"/>
              <w:right w:val="single" w:sz="8" w:space="0" w:color="7BA0CD" w:themeColor="accent1" w:themeTint="BF"/>
            </w:tcBorders>
            <w:noWrap/>
          </w:tcPr>
          <w:p w14:paraId="3B19448A" w14:textId="1227DB17"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8</w:t>
            </w:r>
          </w:p>
        </w:tc>
        <w:tc>
          <w:tcPr>
            <w:tcW w:w="499" w:type="pct"/>
            <w:tcBorders>
              <w:left w:val="single" w:sz="8" w:space="0" w:color="7BA0CD" w:themeColor="accent1" w:themeTint="BF"/>
              <w:right w:val="single" w:sz="8" w:space="0" w:color="7BA0CD" w:themeColor="accent1" w:themeTint="BF"/>
            </w:tcBorders>
          </w:tcPr>
          <w:p w14:paraId="536728F0" w14:textId="692319CE"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 xml:space="preserve">$41.15 </w:t>
            </w:r>
          </w:p>
        </w:tc>
        <w:tc>
          <w:tcPr>
            <w:tcW w:w="590" w:type="pct"/>
            <w:tcBorders>
              <w:left w:val="single" w:sz="8" w:space="0" w:color="7BA0CD" w:themeColor="accent1" w:themeTint="BF"/>
            </w:tcBorders>
          </w:tcPr>
          <w:p w14:paraId="379A71FA" w14:textId="19F3B71E"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Associate</w:t>
            </w:r>
          </w:p>
        </w:tc>
      </w:tr>
      <w:tr w:rsidR="009715AA" w:rsidRPr="008A7DB3" w14:paraId="1693F3BD" w14:textId="77777777" w:rsidTr="00EB30D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4877B95F" w14:textId="581083F5" w:rsidR="009715AA" w:rsidRPr="00D605A4" w:rsidRDefault="009715AA" w:rsidP="006C0F11">
            <w:pPr>
              <w:pStyle w:val="Tablenormalleft"/>
              <w:jc w:val="left"/>
            </w:pPr>
            <w:r w:rsidRPr="00604CBD">
              <w:t>49-9062</w:t>
            </w:r>
          </w:p>
        </w:tc>
        <w:tc>
          <w:tcPr>
            <w:tcW w:w="1956" w:type="pct"/>
            <w:tcBorders>
              <w:left w:val="single" w:sz="8" w:space="0" w:color="7BA0CD" w:themeColor="accent1" w:themeTint="BF"/>
              <w:right w:val="single" w:sz="8" w:space="0" w:color="7BA0CD" w:themeColor="accent1" w:themeTint="BF"/>
            </w:tcBorders>
            <w:noWrap/>
          </w:tcPr>
          <w:p w14:paraId="340F52FF" w14:textId="6E278E01" w:rsidR="009715AA" w:rsidRPr="00D605A4" w:rsidRDefault="009715AA" w:rsidP="006C0F11">
            <w:pPr>
              <w:pStyle w:val="Tablenormalleft"/>
              <w:jc w:val="left"/>
              <w:cnfStyle w:val="000000010000" w:firstRow="0" w:lastRow="0" w:firstColumn="0" w:lastColumn="0" w:oddVBand="0" w:evenVBand="0" w:oddHBand="0" w:evenHBand="1" w:firstRowFirstColumn="0" w:firstRowLastColumn="0" w:lastRowFirstColumn="0" w:lastRowLastColumn="0"/>
            </w:pPr>
            <w:r w:rsidRPr="00604CBD">
              <w:t>Medical Equipment Repairers</w:t>
            </w:r>
          </w:p>
        </w:tc>
        <w:tc>
          <w:tcPr>
            <w:tcW w:w="544" w:type="pct"/>
            <w:tcBorders>
              <w:left w:val="single" w:sz="8" w:space="0" w:color="7BA0CD" w:themeColor="accent1" w:themeTint="BF"/>
              <w:right w:val="single" w:sz="8" w:space="0" w:color="7BA0CD" w:themeColor="accent1" w:themeTint="BF"/>
            </w:tcBorders>
            <w:noWrap/>
          </w:tcPr>
          <w:p w14:paraId="4AEFC02D" w14:textId="028F1997" w:rsidR="009715AA" w:rsidRPr="00D605A4" w:rsidRDefault="009715AA" w:rsidP="006C0F11">
            <w:pPr>
              <w:pStyle w:val="Tablenormalright"/>
              <w:cnfStyle w:val="000000010000" w:firstRow="0" w:lastRow="0" w:firstColumn="0" w:lastColumn="0" w:oddVBand="0" w:evenVBand="0" w:oddHBand="0" w:evenHBand="1" w:firstRowFirstColumn="0" w:firstRowLastColumn="0" w:lastRowFirstColumn="0" w:lastRowLastColumn="0"/>
            </w:pPr>
            <w:r w:rsidRPr="00604CBD">
              <w:t>8</w:t>
            </w:r>
          </w:p>
        </w:tc>
        <w:tc>
          <w:tcPr>
            <w:tcW w:w="635" w:type="pct"/>
            <w:tcBorders>
              <w:left w:val="single" w:sz="8" w:space="0" w:color="7BA0CD" w:themeColor="accent1" w:themeTint="BF"/>
              <w:right w:val="single" w:sz="8" w:space="0" w:color="7BA0CD" w:themeColor="accent1" w:themeTint="BF"/>
            </w:tcBorders>
            <w:noWrap/>
          </w:tcPr>
          <w:p w14:paraId="6AAC5962" w14:textId="01E68E33" w:rsidR="009715AA" w:rsidRPr="00D605A4" w:rsidRDefault="009715AA" w:rsidP="006C0F11">
            <w:pPr>
              <w:pStyle w:val="Tablenormalright"/>
              <w:cnfStyle w:val="000000010000" w:firstRow="0" w:lastRow="0" w:firstColumn="0" w:lastColumn="0" w:oddVBand="0" w:evenVBand="0" w:oddHBand="0" w:evenHBand="1" w:firstRowFirstColumn="0" w:firstRowLastColumn="0" w:lastRowFirstColumn="0" w:lastRowLastColumn="0"/>
            </w:pPr>
            <w:r w:rsidRPr="00604CBD">
              <w:t>0</w:t>
            </w:r>
          </w:p>
        </w:tc>
        <w:tc>
          <w:tcPr>
            <w:tcW w:w="318" w:type="pct"/>
            <w:tcBorders>
              <w:left w:val="single" w:sz="8" w:space="0" w:color="7BA0CD" w:themeColor="accent1" w:themeTint="BF"/>
              <w:right w:val="single" w:sz="8" w:space="0" w:color="7BA0CD" w:themeColor="accent1" w:themeTint="BF"/>
            </w:tcBorders>
            <w:noWrap/>
          </w:tcPr>
          <w:p w14:paraId="70EDF90A" w14:textId="1BBBA0CB" w:rsidR="009715AA" w:rsidRPr="00D605A4" w:rsidRDefault="009715AA" w:rsidP="006C0F11">
            <w:pPr>
              <w:pStyle w:val="Tablenormalright"/>
              <w:cnfStyle w:val="000000010000" w:firstRow="0" w:lastRow="0" w:firstColumn="0" w:lastColumn="0" w:oddVBand="0" w:evenVBand="0" w:oddHBand="0" w:evenHBand="1" w:firstRowFirstColumn="0" w:firstRowLastColumn="0" w:lastRowFirstColumn="0" w:lastRowLastColumn="0"/>
            </w:pPr>
            <w:r w:rsidRPr="00604CBD">
              <w:t>8</w:t>
            </w:r>
          </w:p>
        </w:tc>
        <w:tc>
          <w:tcPr>
            <w:tcW w:w="499" w:type="pct"/>
            <w:tcBorders>
              <w:left w:val="single" w:sz="8" w:space="0" w:color="7BA0CD" w:themeColor="accent1" w:themeTint="BF"/>
              <w:right w:val="single" w:sz="8" w:space="0" w:color="7BA0CD" w:themeColor="accent1" w:themeTint="BF"/>
            </w:tcBorders>
          </w:tcPr>
          <w:p w14:paraId="7477D8CF" w14:textId="0CBB8683" w:rsidR="009715AA" w:rsidRPr="00D605A4" w:rsidRDefault="009715AA" w:rsidP="006C0F11">
            <w:pPr>
              <w:pStyle w:val="Tablenormalright"/>
              <w:cnfStyle w:val="000000010000" w:firstRow="0" w:lastRow="0" w:firstColumn="0" w:lastColumn="0" w:oddVBand="0" w:evenVBand="0" w:oddHBand="0" w:evenHBand="1" w:firstRowFirstColumn="0" w:firstRowLastColumn="0" w:lastRowFirstColumn="0" w:lastRowLastColumn="0"/>
            </w:pPr>
            <w:r w:rsidRPr="00604CBD">
              <w:t xml:space="preserve">$21.00 </w:t>
            </w:r>
          </w:p>
        </w:tc>
        <w:tc>
          <w:tcPr>
            <w:tcW w:w="590" w:type="pct"/>
            <w:tcBorders>
              <w:left w:val="single" w:sz="8" w:space="0" w:color="7BA0CD" w:themeColor="accent1" w:themeTint="BF"/>
            </w:tcBorders>
          </w:tcPr>
          <w:p w14:paraId="34C577DC" w14:textId="301A57E1" w:rsidR="009715AA" w:rsidRPr="00D605A4" w:rsidRDefault="009715AA" w:rsidP="006C0F11">
            <w:pPr>
              <w:pStyle w:val="Tablenormalright"/>
              <w:cnfStyle w:val="000000010000" w:firstRow="0" w:lastRow="0" w:firstColumn="0" w:lastColumn="0" w:oddVBand="0" w:evenVBand="0" w:oddHBand="0" w:evenHBand="1" w:firstRowFirstColumn="0" w:firstRowLastColumn="0" w:lastRowFirstColumn="0" w:lastRowLastColumn="0"/>
            </w:pPr>
            <w:r w:rsidRPr="00604CBD">
              <w:t>Associate</w:t>
            </w:r>
          </w:p>
        </w:tc>
      </w:tr>
      <w:tr w:rsidR="009715AA" w:rsidRPr="008A7DB3" w14:paraId="28C6C457" w14:textId="77777777" w:rsidTr="00EB30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7BA0CD" w:themeColor="accent1" w:themeTint="BF"/>
            </w:tcBorders>
            <w:noWrap/>
          </w:tcPr>
          <w:p w14:paraId="4F828296" w14:textId="040FC05B" w:rsidR="009715AA" w:rsidRPr="00D605A4" w:rsidRDefault="009715AA" w:rsidP="006C0F11">
            <w:pPr>
              <w:pStyle w:val="Tablenormalleft"/>
              <w:jc w:val="left"/>
            </w:pPr>
            <w:r w:rsidRPr="00604CBD">
              <w:t>19-4031</w:t>
            </w:r>
          </w:p>
        </w:tc>
        <w:tc>
          <w:tcPr>
            <w:tcW w:w="1956" w:type="pct"/>
            <w:tcBorders>
              <w:left w:val="single" w:sz="8" w:space="0" w:color="7BA0CD" w:themeColor="accent1" w:themeTint="BF"/>
              <w:right w:val="single" w:sz="8" w:space="0" w:color="7BA0CD" w:themeColor="accent1" w:themeTint="BF"/>
            </w:tcBorders>
            <w:noWrap/>
          </w:tcPr>
          <w:p w14:paraId="5CD8911A" w14:textId="6DFBD2C8" w:rsidR="009715AA" w:rsidRPr="00D605A4" w:rsidRDefault="009715AA" w:rsidP="006C0F11">
            <w:pPr>
              <w:pStyle w:val="Tablenormalleft"/>
              <w:jc w:val="left"/>
              <w:cnfStyle w:val="000000100000" w:firstRow="0" w:lastRow="0" w:firstColumn="0" w:lastColumn="0" w:oddVBand="0" w:evenVBand="0" w:oddHBand="1" w:evenHBand="0" w:firstRowFirstColumn="0" w:firstRowLastColumn="0" w:lastRowFirstColumn="0" w:lastRowLastColumn="0"/>
            </w:pPr>
            <w:r w:rsidRPr="00604CBD">
              <w:t>Chemical Technicians</w:t>
            </w:r>
          </w:p>
        </w:tc>
        <w:tc>
          <w:tcPr>
            <w:tcW w:w="544" w:type="pct"/>
            <w:tcBorders>
              <w:left w:val="single" w:sz="8" w:space="0" w:color="7BA0CD" w:themeColor="accent1" w:themeTint="BF"/>
              <w:right w:val="single" w:sz="8" w:space="0" w:color="7BA0CD" w:themeColor="accent1" w:themeTint="BF"/>
            </w:tcBorders>
            <w:noWrap/>
          </w:tcPr>
          <w:p w14:paraId="7B437FC3" w14:textId="4E0DFBA6"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7</w:t>
            </w:r>
          </w:p>
        </w:tc>
        <w:tc>
          <w:tcPr>
            <w:tcW w:w="635" w:type="pct"/>
            <w:tcBorders>
              <w:left w:val="single" w:sz="8" w:space="0" w:color="7BA0CD" w:themeColor="accent1" w:themeTint="BF"/>
              <w:right w:val="single" w:sz="8" w:space="0" w:color="7BA0CD" w:themeColor="accent1" w:themeTint="BF"/>
            </w:tcBorders>
            <w:noWrap/>
          </w:tcPr>
          <w:p w14:paraId="67895C91" w14:textId="749D203A"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0</w:t>
            </w:r>
          </w:p>
        </w:tc>
        <w:tc>
          <w:tcPr>
            <w:tcW w:w="318" w:type="pct"/>
            <w:tcBorders>
              <w:left w:val="single" w:sz="8" w:space="0" w:color="7BA0CD" w:themeColor="accent1" w:themeTint="BF"/>
              <w:right w:val="single" w:sz="8" w:space="0" w:color="7BA0CD" w:themeColor="accent1" w:themeTint="BF"/>
            </w:tcBorders>
            <w:noWrap/>
          </w:tcPr>
          <w:p w14:paraId="1BB102C4" w14:textId="1956C686"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7</w:t>
            </w:r>
          </w:p>
        </w:tc>
        <w:tc>
          <w:tcPr>
            <w:tcW w:w="499" w:type="pct"/>
            <w:tcBorders>
              <w:left w:val="single" w:sz="8" w:space="0" w:color="7BA0CD" w:themeColor="accent1" w:themeTint="BF"/>
              <w:right w:val="single" w:sz="8" w:space="0" w:color="7BA0CD" w:themeColor="accent1" w:themeTint="BF"/>
            </w:tcBorders>
          </w:tcPr>
          <w:p w14:paraId="70C3D5BE" w14:textId="075EDBA4"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 xml:space="preserve">$14.27 </w:t>
            </w:r>
          </w:p>
        </w:tc>
        <w:tc>
          <w:tcPr>
            <w:tcW w:w="590" w:type="pct"/>
            <w:tcBorders>
              <w:left w:val="single" w:sz="8" w:space="0" w:color="7BA0CD" w:themeColor="accent1" w:themeTint="BF"/>
            </w:tcBorders>
          </w:tcPr>
          <w:p w14:paraId="23EBD13D" w14:textId="363889AA" w:rsidR="009715AA" w:rsidRPr="00D605A4" w:rsidRDefault="009715AA" w:rsidP="006C0F11">
            <w:pPr>
              <w:pStyle w:val="Tablenormalright"/>
              <w:cnfStyle w:val="000000100000" w:firstRow="0" w:lastRow="0" w:firstColumn="0" w:lastColumn="0" w:oddVBand="0" w:evenVBand="0" w:oddHBand="1" w:evenHBand="0" w:firstRowFirstColumn="0" w:firstRowLastColumn="0" w:lastRowFirstColumn="0" w:lastRowLastColumn="0"/>
            </w:pPr>
            <w:r w:rsidRPr="00604CBD">
              <w:t>Associate</w:t>
            </w:r>
          </w:p>
        </w:tc>
      </w:tr>
      <w:tr w:rsidR="00334629" w:rsidRPr="008A7DB3" w14:paraId="29143507" w14:textId="77777777" w:rsidTr="003C4A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il"/>
              <w:bottom w:val="nil"/>
              <w:right w:val="nil"/>
            </w:tcBorders>
            <w:shd w:val="clear" w:color="auto" w:fill="auto"/>
            <w:noWrap/>
            <w:vAlign w:val="bottom"/>
            <w:hideMark/>
          </w:tcPr>
          <w:p w14:paraId="483EB78B" w14:textId="5D8CFFD9" w:rsidR="002D1984" w:rsidRPr="00A07E93" w:rsidRDefault="00334629" w:rsidP="006C0F11">
            <w:pPr>
              <w:pStyle w:val="Tablefooterlastline"/>
            </w:pPr>
            <w:r w:rsidRPr="00A07E93">
              <w:t>Sou</w:t>
            </w:r>
            <w:r w:rsidR="006C38C7">
              <w:t>CCC</w:t>
            </w:r>
            <w:r w:rsidRPr="00A07E93">
              <w:t>e: EMSI Gap Analysis Model</w:t>
            </w:r>
          </w:p>
        </w:tc>
      </w:tr>
    </w:tbl>
    <w:p w14:paraId="074305BE" w14:textId="77777777" w:rsidR="00641562" w:rsidRDefault="00641562" w:rsidP="00641562">
      <w:pPr>
        <w:pStyle w:val="Heading2"/>
      </w:pPr>
      <w:bookmarkStart w:id="25" w:name="_Toc428785420"/>
      <w:bookmarkEnd w:id="18"/>
      <w:bookmarkEnd w:id="23"/>
      <w:r w:rsidRPr="002D30AA">
        <w:t>Co</w:t>
      </w:r>
      <w:r w:rsidRPr="00205918">
        <w:t>n</w:t>
      </w:r>
      <w:r w:rsidRPr="00E7327C">
        <w:t>clu</w:t>
      </w:r>
      <w:r w:rsidRPr="00205918">
        <w:t>s</w:t>
      </w:r>
      <w:r w:rsidRPr="002D30AA">
        <w:t>ion</w:t>
      </w:r>
      <w:bookmarkEnd w:id="25"/>
    </w:p>
    <w:p w14:paraId="31400658" w14:textId="539680A5" w:rsidR="00641562" w:rsidRPr="00033889" w:rsidRDefault="00641562" w:rsidP="00641562">
      <w:r w:rsidRPr="000F1263">
        <w:t>Between both postsecondary certificate level and associate’s degree</w:t>
      </w:r>
      <w:r w:rsidR="00307716" w:rsidRPr="000F1263">
        <w:t xml:space="preserve"> level</w:t>
      </w:r>
      <w:r w:rsidR="00B66F45">
        <w:t xml:space="preserve"> at </w:t>
      </w:r>
      <w:r w:rsidR="006C38C7">
        <w:t>CCC</w:t>
      </w:r>
      <w:r w:rsidRPr="000F1263">
        <w:t xml:space="preserve">, there are a total of </w:t>
      </w:r>
      <w:r w:rsidR="00812F79">
        <w:t>12</w:t>
      </w:r>
      <w:r w:rsidR="002611A3">
        <w:t xml:space="preserve"> </w:t>
      </w:r>
      <w:r w:rsidRPr="000F1263">
        <w:t xml:space="preserve">programs associated with </w:t>
      </w:r>
      <w:r w:rsidR="003309B1">
        <w:t xml:space="preserve">significant </w:t>
      </w:r>
      <w:r w:rsidR="006C38C7">
        <w:t>workforce</w:t>
      </w:r>
      <w:r w:rsidR="00F668BC">
        <w:t xml:space="preserve"> gaps. </w:t>
      </w:r>
      <w:r w:rsidR="00812F79">
        <w:t>Seven</w:t>
      </w:r>
      <w:r w:rsidR="00F668BC">
        <w:t xml:space="preserve"> were at the certificate level and the remaining </w:t>
      </w:r>
      <w:r w:rsidR="00812F79">
        <w:t>five</w:t>
      </w:r>
      <w:r w:rsidR="00F668BC">
        <w:t xml:space="preserve"> were at the associate’s degree level.</w:t>
      </w:r>
      <w:r w:rsidR="00222A71">
        <w:t xml:space="preserve"> </w:t>
      </w:r>
      <w:r w:rsidR="00F668BC">
        <w:t xml:space="preserve">Some programs experienced a gap at both education levels. </w:t>
      </w:r>
      <w:r w:rsidR="00BA29B2" w:rsidRPr="000F1263">
        <w:t xml:space="preserve">There </w:t>
      </w:r>
      <w:r w:rsidR="00A63CD1" w:rsidRPr="000F1263">
        <w:t xml:space="preserve">were </w:t>
      </w:r>
      <w:r w:rsidR="00812F79">
        <w:t>25</w:t>
      </w:r>
      <w:r w:rsidR="00A63CD1" w:rsidRPr="000F1263">
        <w:t xml:space="preserve"> programs associated with significant </w:t>
      </w:r>
      <w:r w:rsidR="006C38C7" w:rsidRPr="000F1263">
        <w:t>workfo</w:t>
      </w:r>
      <w:r w:rsidR="006C38C7">
        <w:t>rce</w:t>
      </w:r>
      <w:r w:rsidR="00A63CD1" w:rsidRPr="000F1263">
        <w:t xml:space="preserve"> surpluses. </w:t>
      </w:r>
    </w:p>
    <w:p w14:paraId="5873AEF4" w14:textId="5999557E" w:rsidR="00201DBA" w:rsidRDefault="00812F79" w:rsidP="00C6595A">
      <w:r>
        <w:t>General Office Occupations &amp; Clerical Services</w:t>
      </w:r>
      <w:r w:rsidR="00201DBA" w:rsidRPr="00201DBA">
        <w:t xml:space="preserve"> </w:t>
      </w:r>
      <w:r w:rsidR="00C6595A">
        <w:t xml:space="preserve">has the largest </w:t>
      </w:r>
      <w:r w:rsidR="00201DBA">
        <w:t xml:space="preserve">certificate level </w:t>
      </w:r>
      <w:r w:rsidR="00C6595A">
        <w:t>gap (</w:t>
      </w:r>
      <w:r>
        <w:t>gap of 645</w:t>
      </w:r>
      <w:r w:rsidR="00C6595A">
        <w:t>)</w:t>
      </w:r>
      <w:r w:rsidR="00201DBA">
        <w:t xml:space="preserve"> but compensation from related occupations is relatively low (median hourly earnings $</w:t>
      </w:r>
      <w:r>
        <w:t>13.89</w:t>
      </w:r>
      <w:r w:rsidR="00201DBA">
        <w:t>)</w:t>
      </w:r>
      <w:r w:rsidR="00C6595A">
        <w:t xml:space="preserve">. </w:t>
      </w:r>
      <w:r>
        <w:t>Accounting has the second largest gap</w:t>
      </w:r>
      <w:r w:rsidR="00C6595A">
        <w:t xml:space="preserve"> (gap of </w:t>
      </w:r>
      <w:r>
        <w:t>110</w:t>
      </w:r>
      <w:r w:rsidR="00C6595A">
        <w:t xml:space="preserve">; </w:t>
      </w:r>
      <w:r w:rsidR="00C6595A">
        <w:lastRenderedPageBreak/>
        <w:t>median hourly wage $</w:t>
      </w:r>
      <w:r>
        <w:t>16.67</w:t>
      </w:r>
      <w:r w:rsidR="00C6595A">
        <w:t>)</w:t>
      </w:r>
      <w:r w:rsidR="00201DBA">
        <w:t>.</w:t>
      </w:r>
      <w:r w:rsidR="00C6595A">
        <w:t xml:space="preserve"> </w:t>
      </w:r>
      <w:r>
        <w:t>Child Development/Early Care &amp; Education</w:t>
      </w:r>
      <w:r w:rsidR="00201DBA">
        <w:t xml:space="preserve">, the third largest certificate level gap, has a </w:t>
      </w:r>
      <w:r>
        <w:t>significant</w:t>
      </w:r>
      <w:r w:rsidR="00201DBA">
        <w:t xml:space="preserve"> gap </w:t>
      </w:r>
      <w:r>
        <w:t>but</w:t>
      </w:r>
      <w:r w:rsidR="00201DBA">
        <w:t xml:space="preserve"> is mapped to </w:t>
      </w:r>
      <w:r>
        <w:t>low</w:t>
      </w:r>
      <w:r w:rsidR="00201DBA">
        <w:t xml:space="preserve"> paying occupations (gap of </w:t>
      </w:r>
      <w:r>
        <w:t>90;</w:t>
      </w:r>
      <w:r w:rsidR="00201DBA">
        <w:t xml:space="preserve"> median hourly earnings $</w:t>
      </w:r>
      <w:r>
        <w:t>9.90</w:t>
      </w:r>
      <w:r w:rsidR="00201DBA">
        <w:t xml:space="preserve">). The three largest associate’s degree level gaps are: </w:t>
      </w:r>
      <w:r>
        <w:t>General Office Occupations &amp; Clerical Services</w:t>
      </w:r>
      <w:r w:rsidRPr="00201DBA">
        <w:t xml:space="preserve"> </w:t>
      </w:r>
      <w:r w:rsidR="00201DBA">
        <w:t xml:space="preserve">(gap of </w:t>
      </w:r>
      <w:r>
        <w:t>669; median hourly earnings $13.8</w:t>
      </w:r>
      <w:r w:rsidR="00201DBA">
        <w:t xml:space="preserve">9), </w:t>
      </w:r>
      <w:r>
        <w:t xml:space="preserve">Child Development </w:t>
      </w:r>
      <w:r w:rsidR="00201DBA">
        <w:t xml:space="preserve">(gap of </w:t>
      </w:r>
      <w:r>
        <w:t>72</w:t>
      </w:r>
      <w:r w:rsidR="00201DBA">
        <w:t>; median hourly earnings $</w:t>
      </w:r>
      <w:r>
        <w:t>9.90</w:t>
      </w:r>
      <w:r w:rsidR="00201DBA">
        <w:t xml:space="preserve">), and </w:t>
      </w:r>
      <w:r>
        <w:t xml:space="preserve">Early Care &amp; Education </w:t>
      </w:r>
      <w:r w:rsidR="00201DBA">
        <w:t xml:space="preserve">(gap of </w:t>
      </w:r>
      <w:r>
        <w:t>32</w:t>
      </w:r>
      <w:r w:rsidR="00201DBA">
        <w:t>; median hourly earnings $</w:t>
      </w:r>
      <w:r>
        <w:t>19.58).</w:t>
      </w:r>
    </w:p>
    <w:p w14:paraId="6589F493" w14:textId="32866F87" w:rsidR="000B7B25" w:rsidRDefault="00812F79" w:rsidP="000865E2">
      <w:r>
        <w:t>Licensed Vocational Nursing</w:t>
      </w:r>
      <w:r w:rsidR="00E7327C">
        <w:t xml:space="preserve"> (surplus </w:t>
      </w:r>
      <w:r>
        <w:t>182</w:t>
      </w:r>
      <w:r w:rsidR="00E7327C">
        <w:t xml:space="preserve">), </w:t>
      </w:r>
      <w:r>
        <w:t>Dental Assistant</w:t>
      </w:r>
      <w:r w:rsidR="00E7327C">
        <w:t xml:space="preserve"> (surplus </w:t>
      </w:r>
      <w:r>
        <w:t>182</w:t>
      </w:r>
      <w:r w:rsidR="00E7327C">
        <w:t xml:space="preserve">), and </w:t>
      </w:r>
      <w:r>
        <w:t>Child Development/Early Care &amp; Education</w:t>
      </w:r>
      <w:r w:rsidR="00E7327C">
        <w:t xml:space="preserve"> (surplus </w:t>
      </w:r>
      <w:r>
        <w:t>114</w:t>
      </w:r>
      <w:r w:rsidR="00E7327C">
        <w:t xml:space="preserve">) </w:t>
      </w:r>
      <w:r w:rsidR="008761D8">
        <w:t>a</w:t>
      </w:r>
      <w:r w:rsidR="00E7327C">
        <w:t>re the three programs associated with the largest surpluses of completers at the certificat</w:t>
      </w:r>
      <w:r>
        <w:t>e level. Nursing (surplus of 511</w:t>
      </w:r>
      <w:r w:rsidR="00E7327C">
        <w:t xml:space="preserve">), </w:t>
      </w:r>
      <w:r>
        <w:t xml:space="preserve">General Social Sciences </w:t>
      </w:r>
      <w:r w:rsidR="00E7327C">
        <w:t xml:space="preserve">(surplus of </w:t>
      </w:r>
      <w:r>
        <w:t>244</w:t>
      </w:r>
      <w:r w:rsidR="00E7327C">
        <w:t xml:space="preserve">), and </w:t>
      </w:r>
      <w:r>
        <w:t xml:space="preserve">Administration of Justice </w:t>
      </w:r>
      <w:r w:rsidR="00E7327C">
        <w:t xml:space="preserve">(surplus of </w:t>
      </w:r>
      <w:r>
        <w:t>176</w:t>
      </w:r>
      <w:r w:rsidR="00E7327C">
        <w:t xml:space="preserve">) are top three associate’s degree level surpluses. For some of the programs, </w:t>
      </w:r>
      <w:r w:rsidR="006C38C7">
        <w:t>CCC</w:t>
      </w:r>
      <w:r w:rsidR="00E7327C">
        <w:t xml:space="preserve"> is producing a moderate number of new completers, but additional supply from other regional institutions leads to the surplus.</w:t>
      </w:r>
      <w:r w:rsidR="00222A71">
        <w:t xml:space="preserve"> </w:t>
      </w:r>
      <w:r w:rsidR="00E7327C">
        <w:t xml:space="preserve">It is possible that some of the completers are seeking employment outside the </w:t>
      </w:r>
      <w:r w:rsidR="006C38C7">
        <w:t>CCC</w:t>
      </w:r>
      <w:r w:rsidR="00E7327C">
        <w:t xml:space="preserve"> </w:t>
      </w:r>
      <w:r w:rsidR="00B101E7">
        <w:t>Economic Region</w:t>
      </w:r>
      <w:r w:rsidR="00E7327C">
        <w:t>.</w:t>
      </w:r>
    </w:p>
    <w:p w14:paraId="571D0446" w14:textId="1BF017AC" w:rsidR="00E7327C" w:rsidRDefault="00E7327C" w:rsidP="00E7327C">
      <w:pPr>
        <w:rPr>
          <w:szCs w:val="22"/>
        </w:rPr>
      </w:pPr>
      <w:r w:rsidRPr="00CE7D95">
        <w:rPr>
          <w:szCs w:val="22"/>
        </w:rPr>
        <w:t xml:space="preserve">There are </w:t>
      </w:r>
      <w:r w:rsidR="00794210">
        <w:rPr>
          <w:szCs w:val="22"/>
        </w:rPr>
        <w:t>17</w:t>
      </w:r>
      <w:r w:rsidRPr="00CE7D95">
        <w:rPr>
          <w:szCs w:val="22"/>
        </w:rPr>
        <w:t xml:space="preserve"> postsecondary certificate level areas of opportunity </w:t>
      </w:r>
      <w:r>
        <w:rPr>
          <w:szCs w:val="22"/>
        </w:rPr>
        <w:t>identified</w:t>
      </w:r>
      <w:r w:rsidRPr="00CE7D95">
        <w:rPr>
          <w:szCs w:val="22"/>
        </w:rPr>
        <w:t xml:space="preserve">. </w:t>
      </w:r>
      <w:r w:rsidR="00794210">
        <w:rPr>
          <w:szCs w:val="22"/>
        </w:rPr>
        <w:t>Th</w:t>
      </w:r>
      <w:r>
        <w:rPr>
          <w:szCs w:val="22"/>
        </w:rPr>
        <w:t>e largest gaps in the programmatic areas of opportunity were for b</w:t>
      </w:r>
      <w:r w:rsidRPr="00CE7D95">
        <w:rPr>
          <w:szCs w:val="22"/>
        </w:rPr>
        <w:t xml:space="preserve">lue collar occupations </w:t>
      </w:r>
      <w:r w:rsidR="00D54360">
        <w:rPr>
          <w:szCs w:val="22"/>
        </w:rPr>
        <w:t xml:space="preserve">that </w:t>
      </w:r>
      <w:r w:rsidR="00D54360" w:rsidRPr="00CE7D95">
        <w:rPr>
          <w:szCs w:val="22"/>
        </w:rPr>
        <w:t xml:space="preserve">appear to be undersupplied in the </w:t>
      </w:r>
      <w:r w:rsidR="006C38C7">
        <w:rPr>
          <w:szCs w:val="22"/>
        </w:rPr>
        <w:t>CCC</w:t>
      </w:r>
      <w:r w:rsidR="00D54360" w:rsidRPr="00CE7D95">
        <w:rPr>
          <w:szCs w:val="22"/>
        </w:rPr>
        <w:t xml:space="preserve"> </w:t>
      </w:r>
      <w:r w:rsidR="00D54360">
        <w:rPr>
          <w:szCs w:val="22"/>
        </w:rPr>
        <w:t>Economic Region</w:t>
      </w:r>
      <w:r w:rsidR="00D54360" w:rsidRPr="00CE7D95">
        <w:rPr>
          <w:szCs w:val="22"/>
        </w:rPr>
        <w:t xml:space="preserve"> </w:t>
      </w:r>
      <w:r w:rsidRPr="00CE7D95">
        <w:rPr>
          <w:szCs w:val="22"/>
        </w:rPr>
        <w:t>like</w:t>
      </w:r>
      <w:r>
        <w:rPr>
          <w:szCs w:val="22"/>
        </w:rPr>
        <w:t xml:space="preserve"> heavy &amp; tractor-trailer truck drivers, general maintenance &amp; repair workers,</w:t>
      </w:r>
      <w:r w:rsidRPr="00CE7D95">
        <w:rPr>
          <w:szCs w:val="22"/>
        </w:rPr>
        <w:t xml:space="preserve"> </w:t>
      </w:r>
      <w:r>
        <w:rPr>
          <w:szCs w:val="22"/>
        </w:rPr>
        <w:t xml:space="preserve">and industrial </w:t>
      </w:r>
      <w:r w:rsidR="00794210">
        <w:rPr>
          <w:szCs w:val="22"/>
        </w:rPr>
        <w:t>truck &amp; tractor operators</w:t>
      </w:r>
      <w:r w:rsidRPr="00CE7D95">
        <w:rPr>
          <w:szCs w:val="22"/>
        </w:rPr>
        <w:t xml:space="preserve">. </w:t>
      </w:r>
      <w:r w:rsidR="00794210">
        <w:rPr>
          <w:szCs w:val="22"/>
        </w:rPr>
        <w:t>Some</w:t>
      </w:r>
      <w:r>
        <w:rPr>
          <w:szCs w:val="22"/>
        </w:rPr>
        <w:t xml:space="preserve"> skilled trades</w:t>
      </w:r>
      <w:r w:rsidRPr="00E7327C">
        <w:rPr>
          <w:szCs w:val="22"/>
        </w:rPr>
        <w:t xml:space="preserve"> </w:t>
      </w:r>
      <w:r>
        <w:rPr>
          <w:szCs w:val="22"/>
        </w:rPr>
        <w:t>are also among the top areas of opportunity</w:t>
      </w:r>
      <w:r w:rsidR="00D54360">
        <w:rPr>
          <w:szCs w:val="22"/>
        </w:rPr>
        <w:t xml:space="preserve"> like</w:t>
      </w:r>
      <w:r>
        <w:rPr>
          <w:szCs w:val="22"/>
        </w:rPr>
        <w:t xml:space="preserve">: electricians and carpenters. </w:t>
      </w:r>
      <w:r w:rsidRPr="00CE7D95">
        <w:rPr>
          <w:szCs w:val="22"/>
        </w:rPr>
        <w:t xml:space="preserve">Wage rates </w:t>
      </w:r>
      <w:r>
        <w:rPr>
          <w:szCs w:val="22"/>
        </w:rPr>
        <w:t xml:space="preserve">are in a </w:t>
      </w:r>
      <w:r w:rsidRPr="00CE7D95">
        <w:rPr>
          <w:szCs w:val="22"/>
        </w:rPr>
        <w:t xml:space="preserve">range </w:t>
      </w:r>
      <w:r>
        <w:rPr>
          <w:szCs w:val="22"/>
        </w:rPr>
        <w:t>between</w:t>
      </w:r>
      <w:r w:rsidRPr="00CE7D95">
        <w:rPr>
          <w:szCs w:val="22"/>
        </w:rPr>
        <w:t xml:space="preserve"> $</w:t>
      </w:r>
      <w:r>
        <w:rPr>
          <w:szCs w:val="22"/>
        </w:rPr>
        <w:t>12.</w:t>
      </w:r>
      <w:r w:rsidR="00794210">
        <w:rPr>
          <w:szCs w:val="22"/>
        </w:rPr>
        <w:t>27</w:t>
      </w:r>
      <w:r w:rsidRPr="00CE7D95">
        <w:rPr>
          <w:szCs w:val="22"/>
        </w:rPr>
        <w:t xml:space="preserve"> for </w:t>
      </w:r>
      <w:r w:rsidR="00794210">
        <w:rPr>
          <w:szCs w:val="22"/>
        </w:rPr>
        <w:t>farmworkers, farm, ranch, &amp; aquacultural animals</w:t>
      </w:r>
      <w:r w:rsidRPr="00CE7D95">
        <w:rPr>
          <w:szCs w:val="22"/>
        </w:rPr>
        <w:t xml:space="preserve"> to </w:t>
      </w:r>
      <w:r>
        <w:rPr>
          <w:szCs w:val="22"/>
        </w:rPr>
        <w:t xml:space="preserve">a high of $39.62 for electrical power-line installers &amp; repairers. An additional </w:t>
      </w:r>
      <w:r w:rsidR="00794210">
        <w:rPr>
          <w:szCs w:val="22"/>
        </w:rPr>
        <w:t>four</w:t>
      </w:r>
      <w:r>
        <w:rPr>
          <w:szCs w:val="22"/>
        </w:rPr>
        <w:t xml:space="preserve"> areas of opportunity are at the associate’s degree level. Medical &amp; clinical laboratory technicians have the largest gap </w:t>
      </w:r>
      <w:r w:rsidR="00794210">
        <w:rPr>
          <w:szCs w:val="22"/>
        </w:rPr>
        <w:t xml:space="preserve">(gap of 10), </w:t>
      </w:r>
      <w:r>
        <w:rPr>
          <w:szCs w:val="22"/>
        </w:rPr>
        <w:t xml:space="preserve">but pay only $16.93 an hour. </w:t>
      </w:r>
      <w:r w:rsidR="00794210">
        <w:rPr>
          <w:szCs w:val="22"/>
        </w:rPr>
        <w:t>Other</w:t>
      </w:r>
      <w:r>
        <w:rPr>
          <w:szCs w:val="22"/>
        </w:rPr>
        <w:t xml:space="preserve"> healthcare related occupation</w:t>
      </w:r>
      <w:r w:rsidR="00794210">
        <w:rPr>
          <w:szCs w:val="22"/>
        </w:rPr>
        <w:t>s</w:t>
      </w:r>
      <w:r>
        <w:rPr>
          <w:szCs w:val="22"/>
        </w:rPr>
        <w:t>, diagnostic medical sonographers</w:t>
      </w:r>
      <w:r w:rsidR="00794210">
        <w:rPr>
          <w:szCs w:val="22"/>
        </w:rPr>
        <w:t xml:space="preserve"> and medical equipment repairers</w:t>
      </w:r>
      <w:r>
        <w:rPr>
          <w:szCs w:val="22"/>
        </w:rPr>
        <w:t>, ha</w:t>
      </w:r>
      <w:r w:rsidR="00794210">
        <w:rPr>
          <w:szCs w:val="22"/>
        </w:rPr>
        <w:t>ve</w:t>
      </w:r>
      <w:r>
        <w:rPr>
          <w:szCs w:val="22"/>
        </w:rPr>
        <w:t xml:space="preserve"> small gap</w:t>
      </w:r>
      <w:r w:rsidR="00794210">
        <w:rPr>
          <w:szCs w:val="22"/>
        </w:rPr>
        <w:t>s</w:t>
      </w:r>
      <w:r>
        <w:rPr>
          <w:szCs w:val="22"/>
        </w:rPr>
        <w:t xml:space="preserve"> but high wages (gap of 8</w:t>
      </w:r>
      <w:r w:rsidR="00794210">
        <w:rPr>
          <w:szCs w:val="22"/>
        </w:rPr>
        <w:t xml:space="preserve"> each</w:t>
      </w:r>
      <w:r>
        <w:rPr>
          <w:szCs w:val="22"/>
        </w:rPr>
        <w:t xml:space="preserve">; median hourly earnings </w:t>
      </w:r>
      <w:r w:rsidR="00794210">
        <w:rPr>
          <w:szCs w:val="22"/>
        </w:rPr>
        <w:t xml:space="preserve">over </w:t>
      </w:r>
      <w:r>
        <w:rPr>
          <w:szCs w:val="22"/>
        </w:rPr>
        <w:t>$</w:t>
      </w:r>
      <w:r w:rsidR="00794210">
        <w:rPr>
          <w:szCs w:val="22"/>
        </w:rPr>
        <w:t>20 an hour</w:t>
      </w:r>
      <w:r>
        <w:rPr>
          <w:szCs w:val="22"/>
        </w:rPr>
        <w:t xml:space="preserve">). </w:t>
      </w:r>
    </w:p>
    <w:p w14:paraId="02983209" w14:textId="4C037915" w:rsidR="000B7B25" w:rsidRDefault="000B7B25" w:rsidP="000B7B25">
      <w:pPr>
        <w:rPr>
          <w:szCs w:val="22"/>
        </w:rPr>
      </w:pPr>
    </w:p>
    <w:p w14:paraId="7D02472A" w14:textId="77777777" w:rsidR="0040510A" w:rsidRDefault="0040510A" w:rsidP="000865E2">
      <w:pPr>
        <w:rPr>
          <w:szCs w:val="22"/>
        </w:rPr>
      </w:pPr>
    </w:p>
    <w:p w14:paraId="1CEAC6FB" w14:textId="77777777" w:rsidR="00641562" w:rsidRDefault="00641562" w:rsidP="00641562">
      <w:pPr>
        <w:pStyle w:val="Heading1"/>
      </w:pPr>
      <w:bookmarkStart w:id="26" w:name="_Toc428785421"/>
      <w:r w:rsidRPr="00BB68E4">
        <w:lastRenderedPageBreak/>
        <w:t>Appendix 1: About EMSI</w:t>
      </w:r>
      <w:r>
        <w:t xml:space="preserve"> Data</w:t>
      </w:r>
      <w:bookmarkEnd w:id="26"/>
    </w:p>
    <w:p w14:paraId="03F6A968" w14:textId="77777777" w:rsidR="003D499E" w:rsidRDefault="00641562" w:rsidP="00641562">
      <w:r w:rsidRPr="00B51844">
        <w:t xml:space="preserve">As stated in Chapter 2, EMSI data were used to calculate the projected number of annual job openings from </w:t>
      </w:r>
      <w:r w:rsidR="008B0385">
        <w:t>2014</w:t>
      </w:r>
      <w:r w:rsidRPr="00B51844">
        <w:t xml:space="preserve"> to </w:t>
      </w:r>
      <w:r w:rsidR="008B0385">
        <w:t>2024</w:t>
      </w:r>
      <w:r w:rsidRPr="00B51844">
        <w:t xml:space="preserve">. These projections take into </w:t>
      </w:r>
      <w:r w:rsidR="00095A90">
        <w:t>a</w:t>
      </w:r>
      <w:r w:rsidR="005715BC">
        <w:t>ccount</w:t>
      </w:r>
      <w:r w:rsidRPr="00B51844">
        <w:t xml:space="preserve"> openings due to job growth and openings due to replacement needs. </w:t>
      </w:r>
    </w:p>
    <w:p w14:paraId="75E054C3" w14:textId="0D80FBB5" w:rsidR="00641562" w:rsidRPr="00B51844" w:rsidRDefault="00641562" w:rsidP="00641562">
      <w:r w:rsidRPr="00B51844">
        <w:t xml:space="preserve">In order to capture a complete picture of industry employment, EMSI gathers and integrates economic, labor market, demographic, and education data from </w:t>
      </w:r>
      <w:r>
        <w:t>over</w:t>
      </w:r>
      <w:r w:rsidRPr="00B51844">
        <w:t xml:space="preserve"> 90 government and private-sector </w:t>
      </w:r>
      <w:r w:rsidR="006C38C7" w:rsidRPr="00B51844">
        <w:t>sou</w:t>
      </w:r>
      <w:r w:rsidR="006C38C7">
        <w:t>rce</w:t>
      </w:r>
      <w:r w:rsidR="006C38C7" w:rsidRPr="00B51844">
        <w:t>s</w:t>
      </w:r>
      <w:r w:rsidRPr="00B51844">
        <w:t xml:space="preserve">, creating a comprehensive and current database that includes both published data and detailed estimates with full coverage of the United States. </w:t>
      </w:r>
    </w:p>
    <w:p w14:paraId="3A20A4EA" w14:textId="6AEE851E" w:rsidR="00641562" w:rsidRPr="00B51844" w:rsidRDefault="00641562" w:rsidP="00641562">
      <w:r w:rsidRPr="00B51844">
        <w:t>More specifically, EMSI combin</w:t>
      </w:r>
      <w:r w:rsidR="003D499E">
        <w:t>es</w:t>
      </w:r>
      <w:r w:rsidRPr="00B51844">
        <w:t xml:space="preserve"> covered employment data from Quarterly Census of Employment and Wages (QCEW</w:t>
      </w:r>
      <w:r w:rsidR="00EF7B82">
        <w:t>-</w:t>
      </w:r>
      <w:r w:rsidRPr="00B51844">
        <w:t>produced by the Department of Labor</w:t>
      </w:r>
      <w:r w:rsidR="00EF7B82">
        <w:t>)</w:t>
      </w:r>
      <w:r w:rsidRPr="00B51844">
        <w:t xml:space="preserve"> with total employment data in Regional Economic Information System (REIS</w:t>
      </w:r>
      <w:r w:rsidR="00EF7B82">
        <w:t>-</w:t>
      </w:r>
      <w:r w:rsidRPr="00B51844">
        <w:t xml:space="preserve">published by the Bureau of Economic Analysis </w:t>
      </w:r>
      <w:r w:rsidR="00EF7B82">
        <w:t xml:space="preserve">or </w:t>
      </w:r>
      <w:r w:rsidRPr="00B51844">
        <w:t>BEA). This is augmented with County Business Patterns (CBP) and Non</w:t>
      </w:r>
      <w:r w:rsidR="00F00899">
        <w:t>-E</w:t>
      </w:r>
      <w:r w:rsidRPr="00B51844">
        <w:t>mployer Statistics (NES) published by the US Census Bureau. Projections are based on the latest</w:t>
      </w:r>
      <w:r>
        <w:t>-</w:t>
      </w:r>
      <w:r w:rsidRPr="00B51844">
        <w:t>available EMSI industry data, 15-year past local trends in each industry, growth rates in statewide and (where available) sub-state area industry projections published by individual state agencies, and (in part) growth rates in national projections from the Bureau of Labor Statistics.</w:t>
      </w:r>
    </w:p>
    <w:p w14:paraId="11638A64" w14:textId="2F5A13F0" w:rsidR="00641562" w:rsidRPr="00673EEA" w:rsidRDefault="00641562" w:rsidP="00641562">
      <w:r w:rsidRPr="00B51844">
        <w:t xml:space="preserve">Through this combination of data </w:t>
      </w:r>
      <w:r w:rsidR="006C38C7" w:rsidRPr="00B51844">
        <w:t>sou</w:t>
      </w:r>
      <w:r w:rsidR="006C38C7">
        <w:t>rce</w:t>
      </w:r>
      <w:r w:rsidR="006C38C7" w:rsidRPr="00B51844">
        <w:t>s</w:t>
      </w:r>
      <w:r w:rsidRPr="00B51844">
        <w:t xml:space="preserve">, EMSI is able to fill gaps in individual </w:t>
      </w:r>
      <w:r w:rsidR="006C38C7" w:rsidRPr="00B51844">
        <w:t>sou</w:t>
      </w:r>
      <w:r w:rsidR="006C38C7">
        <w:t>rce</w:t>
      </w:r>
      <w:r w:rsidR="006C38C7" w:rsidRPr="00B51844">
        <w:t>s</w:t>
      </w:r>
      <w:r w:rsidRPr="00B51844">
        <w:t xml:space="preserve"> (such as suppressions and missing proprietors). This yields a composite database that leverages the strengths of all its </w:t>
      </w:r>
      <w:r w:rsidR="006C38C7" w:rsidRPr="00B51844">
        <w:t>sou</w:t>
      </w:r>
      <w:r w:rsidR="006C38C7">
        <w:t>rce</w:t>
      </w:r>
      <w:r w:rsidR="006C38C7" w:rsidRPr="00B51844">
        <w:t>s</w:t>
      </w:r>
      <w:r w:rsidRPr="00B51844">
        <w:t>. Finally, EMSI’s database is updated quarterly, providing the most up-to-date integrated information possible.</w:t>
      </w:r>
    </w:p>
    <w:p w14:paraId="32C0C897" w14:textId="77777777" w:rsidR="00641562" w:rsidRDefault="00641562" w:rsidP="00641562">
      <w:pPr>
        <w:pStyle w:val="Heading1"/>
      </w:pPr>
      <w:bookmarkStart w:id="27" w:name="_Toc428785422"/>
      <w:r w:rsidRPr="00C6015D">
        <w:lastRenderedPageBreak/>
        <w:t>Appendix 2: Program</w:t>
      </w:r>
      <w:r>
        <w:t>-to-</w:t>
      </w:r>
      <w:r w:rsidRPr="00C6015D">
        <w:t>Occupation Mapping</w:t>
      </w:r>
      <w:bookmarkEnd w:id="27"/>
    </w:p>
    <w:p w14:paraId="28DC0D6B" w14:textId="77777777" w:rsidR="00641562" w:rsidRPr="00744E4A" w:rsidRDefault="00641562" w:rsidP="00641562">
      <w:r w:rsidRPr="00F40F05">
        <w:t xml:space="preserve">Table A2.1 displays the crosswalk between educational programs (CIP codes) and occupations (SOC codes) that EMSI used to complete the gap analysis. Also listed are the adjustment factors which were applied to the annual openings figures for each occupation within each program. The methodology for these factors is described in </w:t>
      </w:r>
      <w:r>
        <w:t>Appendix</w:t>
      </w:r>
      <w:r w:rsidRPr="00F40F05">
        <w:t xml:space="preserve"> 3, with the </w:t>
      </w:r>
      <w:r>
        <w:t xml:space="preserve">program based </w:t>
      </w:r>
      <w:r w:rsidRPr="00F40F05">
        <w:t xml:space="preserve">weight figure recounted under “De-duplication of Annual Openings” and the educational level adjustments recounted under “Education Level Adjustments.” </w:t>
      </w:r>
    </w:p>
    <w:tbl>
      <w:tblPr>
        <w:tblStyle w:val="MediumShading1-Accent1"/>
        <w:tblW w:w="9468" w:type="dxa"/>
        <w:tblLayout w:type="fixed"/>
        <w:tblLook w:val="04A0" w:firstRow="1" w:lastRow="0" w:firstColumn="1" w:lastColumn="0" w:noHBand="0" w:noVBand="1"/>
      </w:tblPr>
      <w:tblGrid>
        <w:gridCol w:w="1008"/>
        <w:gridCol w:w="2340"/>
        <w:gridCol w:w="900"/>
        <w:gridCol w:w="2340"/>
        <w:gridCol w:w="1080"/>
        <w:gridCol w:w="900"/>
        <w:gridCol w:w="900"/>
      </w:tblGrid>
      <w:tr w:rsidR="00641562" w:rsidRPr="00A07E93" w14:paraId="76F9BBAE" w14:textId="77777777" w:rsidTr="006A424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468" w:type="dxa"/>
            <w:gridSpan w:val="7"/>
            <w:tcBorders>
              <w:top w:val="nil"/>
              <w:left w:val="nil"/>
              <w:right w:val="nil"/>
            </w:tcBorders>
            <w:shd w:val="clear" w:color="auto" w:fill="auto"/>
            <w:vAlign w:val="bottom"/>
          </w:tcPr>
          <w:p w14:paraId="1CFB7D11" w14:textId="77777777" w:rsidR="00641562" w:rsidRPr="003966E8" w:rsidRDefault="00641562" w:rsidP="003966E8">
            <w:pPr>
              <w:pStyle w:val="Tabletitle"/>
              <w:rPr>
                <w:rFonts w:eastAsiaTheme="minorHAnsi"/>
                <w:b/>
              </w:rPr>
            </w:pPr>
            <w:r w:rsidRPr="00481101">
              <w:rPr>
                <w:rFonts w:eastAsiaTheme="minorHAnsi"/>
                <w:b/>
              </w:rPr>
              <w:t>Table A2.1: Program to Occupation Mapping with Employment Adjustment Factors</w:t>
            </w:r>
          </w:p>
        </w:tc>
      </w:tr>
      <w:tr w:rsidR="00641562" w:rsidRPr="00A07E93" w14:paraId="502C925D" w14:textId="77777777" w:rsidTr="006A4240">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7668" w:type="dxa"/>
            <w:gridSpan w:val="5"/>
            <w:tcBorders>
              <w:right w:val="single" w:sz="8" w:space="0" w:color="7BA0CD" w:themeColor="accent1" w:themeTint="BF"/>
            </w:tcBorders>
            <w:shd w:val="clear" w:color="auto" w:fill="4F81BD" w:themeFill="accent1"/>
            <w:vAlign w:val="bottom"/>
          </w:tcPr>
          <w:p w14:paraId="65A1FF7D" w14:textId="77777777" w:rsidR="00641562" w:rsidRPr="00A07E93" w:rsidRDefault="00641562" w:rsidP="006A4240">
            <w:pPr>
              <w:pStyle w:val="Tableheadercenter"/>
              <w:keepNext w:val="0"/>
              <w:widowControl w:val="0"/>
              <w:rPr>
                <w:rFonts w:eastAsiaTheme="minorHAnsi"/>
              </w:rPr>
            </w:pPr>
          </w:p>
        </w:tc>
        <w:tc>
          <w:tcPr>
            <w:tcW w:w="1800" w:type="dxa"/>
            <w:gridSpan w:val="2"/>
            <w:tcBorders>
              <w:left w:val="single" w:sz="8" w:space="0" w:color="7BA0CD" w:themeColor="accent1" w:themeTint="BF"/>
            </w:tcBorders>
            <w:shd w:val="clear" w:color="auto" w:fill="4F81BD" w:themeFill="accent1"/>
            <w:vAlign w:val="bottom"/>
          </w:tcPr>
          <w:p w14:paraId="12D3533A" w14:textId="076F4579" w:rsidR="00641562" w:rsidRPr="00A07E93" w:rsidRDefault="00641562" w:rsidP="006A4240">
            <w:pPr>
              <w:pStyle w:val="Tableheadercenter"/>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PE</w:t>
            </w:r>
            <w:r w:rsidR="006C38C7">
              <w:rPr>
                <w:rFonts w:eastAsiaTheme="minorHAnsi"/>
              </w:rPr>
              <w:t>CCC</w:t>
            </w:r>
            <w:r>
              <w:rPr>
                <w:rFonts w:eastAsiaTheme="minorHAnsi"/>
              </w:rPr>
              <w:t>ENT OF WORKFO</w:t>
            </w:r>
            <w:r w:rsidR="006C38C7">
              <w:rPr>
                <w:rFonts w:eastAsiaTheme="minorHAnsi"/>
              </w:rPr>
              <w:t>CCC</w:t>
            </w:r>
            <w:r>
              <w:rPr>
                <w:rFonts w:eastAsiaTheme="minorHAnsi"/>
              </w:rPr>
              <w:t>E WITH GIVEN EDUCATION LEVEL</w:t>
            </w:r>
          </w:p>
        </w:tc>
      </w:tr>
      <w:tr w:rsidR="00641562" w:rsidRPr="00A07E93" w14:paraId="107E5714" w14:textId="77777777" w:rsidTr="00B858C8">
        <w:trPr>
          <w:cnfStyle w:val="000000010000" w:firstRow="0" w:lastRow="0" w:firstColumn="0" w:lastColumn="0" w:oddVBand="0" w:evenVBand="0" w:oddHBand="0" w:evenHBand="1"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shd w:val="clear" w:color="auto" w:fill="4F81BD" w:themeFill="accent1"/>
            <w:vAlign w:val="center"/>
          </w:tcPr>
          <w:p w14:paraId="58F7DFC3" w14:textId="77777777" w:rsidR="00641562" w:rsidRPr="00A07E93" w:rsidRDefault="00641562" w:rsidP="00C87021">
            <w:pPr>
              <w:pStyle w:val="Tableheaderleft"/>
              <w:keepNext w:val="0"/>
              <w:widowControl w:val="0"/>
              <w:jc w:val="center"/>
              <w:rPr>
                <w:rFonts w:eastAsiaTheme="minorHAnsi"/>
              </w:rPr>
            </w:pPr>
            <w:r w:rsidRPr="00A07E93">
              <w:rPr>
                <w:rFonts w:eastAsiaTheme="minorHAnsi"/>
              </w:rPr>
              <w:t>CIP</w:t>
            </w:r>
          </w:p>
        </w:tc>
        <w:tc>
          <w:tcPr>
            <w:tcW w:w="2340" w:type="dxa"/>
            <w:tcBorders>
              <w:left w:val="single" w:sz="8" w:space="0" w:color="7BA0CD" w:themeColor="accent1" w:themeTint="BF"/>
              <w:right w:val="single" w:sz="8" w:space="0" w:color="7BA0CD" w:themeColor="accent1" w:themeTint="BF"/>
            </w:tcBorders>
            <w:shd w:val="clear" w:color="auto" w:fill="4F81BD" w:themeFill="accent1"/>
            <w:vAlign w:val="center"/>
          </w:tcPr>
          <w:p w14:paraId="38501DD9" w14:textId="77777777" w:rsidR="00641562" w:rsidRPr="00A07E93" w:rsidRDefault="00641562" w:rsidP="00C87021">
            <w:pPr>
              <w:pStyle w:val="Tableheaderleft"/>
              <w:keepNext w:val="0"/>
              <w:widowControl w:val="0"/>
              <w:jc w:val="center"/>
              <w:cnfStyle w:val="000000010000" w:firstRow="0" w:lastRow="0" w:firstColumn="0" w:lastColumn="0" w:oddVBand="0" w:evenVBand="0" w:oddHBand="0" w:evenHBand="1" w:firstRowFirstColumn="0" w:firstRowLastColumn="0" w:lastRowFirstColumn="0" w:lastRowLastColumn="0"/>
              <w:rPr>
                <w:rFonts w:eastAsiaTheme="minorHAnsi"/>
              </w:rPr>
            </w:pPr>
            <w:r w:rsidRPr="00A07E93">
              <w:rPr>
                <w:rFonts w:eastAsiaTheme="minorHAnsi"/>
              </w:rPr>
              <w:t>Program</w:t>
            </w:r>
          </w:p>
        </w:tc>
        <w:tc>
          <w:tcPr>
            <w:tcW w:w="900" w:type="dxa"/>
            <w:tcBorders>
              <w:left w:val="single" w:sz="8" w:space="0" w:color="7BA0CD" w:themeColor="accent1" w:themeTint="BF"/>
              <w:right w:val="single" w:sz="8" w:space="0" w:color="7BA0CD" w:themeColor="accent1" w:themeTint="BF"/>
            </w:tcBorders>
            <w:shd w:val="clear" w:color="auto" w:fill="4F81BD" w:themeFill="accent1"/>
            <w:vAlign w:val="center"/>
          </w:tcPr>
          <w:p w14:paraId="7495D7C9" w14:textId="77777777" w:rsidR="00641562" w:rsidRPr="00A07E93" w:rsidRDefault="00641562" w:rsidP="00C87021">
            <w:pPr>
              <w:pStyle w:val="Tableheaderleft"/>
              <w:keepNext w:val="0"/>
              <w:widowControl w:val="0"/>
              <w:jc w:val="center"/>
              <w:cnfStyle w:val="000000010000" w:firstRow="0" w:lastRow="0" w:firstColumn="0" w:lastColumn="0" w:oddVBand="0" w:evenVBand="0" w:oddHBand="0" w:evenHBand="1" w:firstRowFirstColumn="0" w:firstRowLastColumn="0" w:lastRowFirstColumn="0" w:lastRowLastColumn="0"/>
              <w:rPr>
                <w:rFonts w:eastAsiaTheme="minorHAnsi"/>
              </w:rPr>
            </w:pPr>
            <w:r w:rsidRPr="00A07E93">
              <w:rPr>
                <w:rFonts w:eastAsiaTheme="minorHAnsi"/>
              </w:rPr>
              <w:t>SOC</w:t>
            </w:r>
          </w:p>
        </w:tc>
        <w:tc>
          <w:tcPr>
            <w:tcW w:w="2340" w:type="dxa"/>
            <w:tcBorders>
              <w:left w:val="single" w:sz="8" w:space="0" w:color="7BA0CD" w:themeColor="accent1" w:themeTint="BF"/>
              <w:right w:val="single" w:sz="8" w:space="0" w:color="7BA0CD" w:themeColor="accent1" w:themeTint="BF"/>
            </w:tcBorders>
            <w:shd w:val="clear" w:color="auto" w:fill="4F81BD" w:themeFill="accent1"/>
            <w:vAlign w:val="center"/>
          </w:tcPr>
          <w:p w14:paraId="33841E93" w14:textId="77777777" w:rsidR="00641562" w:rsidRPr="00A07E93" w:rsidRDefault="00641562" w:rsidP="00C87021">
            <w:pPr>
              <w:pStyle w:val="Tableheaderleft"/>
              <w:keepNext w:val="0"/>
              <w:widowControl w:val="0"/>
              <w:jc w:val="center"/>
              <w:cnfStyle w:val="000000010000" w:firstRow="0" w:lastRow="0" w:firstColumn="0" w:lastColumn="0" w:oddVBand="0" w:evenVBand="0" w:oddHBand="0" w:evenHBand="1" w:firstRowFirstColumn="0" w:firstRowLastColumn="0" w:lastRowFirstColumn="0" w:lastRowLastColumn="0"/>
              <w:rPr>
                <w:rFonts w:eastAsiaTheme="minorHAnsi"/>
              </w:rPr>
            </w:pPr>
            <w:r w:rsidRPr="00A07E93">
              <w:rPr>
                <w:rFonts w:eastAsiaTheme="minorHAnsi"/>
              </w:rPr>
              <w:t>Occupation</w:t>
            </w:r>
          </w:p>
        </w:tc>
        <w:tc>
          <w:tcPr>
            <w:tcW w:w="1080" w:type="dxa"/>
            <w:tcBorders>
              <w:left w:val="single" w:sz="8" w:space="0" w:color="7BA0CD" w:themeColor="accent1" w:themeTint="BF"/>
              <w:right w:val="single" w:sz="8" w:space="0" w:color="7BA0CD" w:themeColor="accent1" w:themeTint="BF"/>
            </w:tcBorders>
            <w:shd w:val="clear" w:color="auto" w:fill="4F81BD" w:themeFill="accent1"/>
            <w:vAlign w:val="center"/>
          </w:tcPr>
          <w:p w14:paraId="6E95BE19" w14:textId="77777777" w:rsidR="00641562" w:rsidRPr="00A07E93" w:rsidRDefault="00641562" w:rsidP="00807F05">
            <w:pPr>
              <w:pStyle w:val="Tableheadercenter"/>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rPr>
            </w:pPr>
            <w:r w:rsidRPr="00A07E93">
              <w:rPr>
                <w:rFonts w:eastAsiaTheme="minorHAnsi"/>
              </w:rPr>
              <w:t>Program Based Weight</w:t>
            </w:r>
          </w:p>
        </w:tc>
        <w:tc>
          <w:tcPr>
            <w:tcW w:w="900" w:type="dxa"/>
            <w:tcBorders>
              <w:left w:val="single" w:sz="8" w:space="0" w:color="7BA0CD" w:themeColor="accent1" w:themeTint="BF"/>
              <w:right w:val="single" w:sz="8" w:space="0" w:color="7BA0CD" w:themeColor="accent1" w:themeTint="BF"/>
            </w:tcBorders>
            <w:shd w:val="clear" w:color="auto" w:fill="4F81BD" w:themeFill="accent1"/>
            <w:vAlign w:val="center"/>
          </w:tcPr>
          <w:p w14:paraId="01AAB6FA" w14:textId="77777777" w:rsidR="00641562" w:rsidRPr="00A07E93" w:rsidRDefault="00641562" w:rsidP="00807F05">
            <w:pPr>
              <w:pStyle w:val="Tableheadercenter"/>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rPr>
            </w:pPr>
            <w:r w:rsidRPr="00A07E93">
              <w:rPr>
                <w:rFonts w:eastAsiaTheme="minorHAnsi"/>
              </w:rPr>
              <w:t xml:space="preserve">PSV Award or </w:t>
            </w:r>
            <w:r>
              <w:rPr>
                <w:rFonts w:eastAsiaTheme="minorHAnsi"/>
              </w:rPr>
              <w:t>Some College</w:t>
            </w:r>
          </w:p>
        </w:tc>
        <w:tc>
          <w:tcPr>
            <w:tcW w:w="900" w:type="dxa"/>
            <w:tcBorders>
              <w:left w:val="single" w:sz="8" w:space="0" w:color="7BA0CD" w:themeColor="accent1" w:themeTint="BF"/>
            </w:tcBorders>
            <w:shd w:val="clear" w:color="auto" w:fill="4F81BD" w:themeFill="accent1"/>
            <w:vAlign w:val="center"/>
          </w:tcPr>
          <w:p w14:paraId="0D3A4BE5" w14:textId="77777777" w:rsidR="00641562" w:rsidRPr="00A07E93" w:rsidRDefault="00641562" w:rsidP="00807F05">
            <w:pPr>
              <w:pStyle w:val="Tableheadercenter"/>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rPr>
            </w:pPr>
            <w:r w:rsidRPr="00A07E93">
              <w:rPr>
                <w:rFonts w:eastAsiaTheme="minorHAnsi"/>
              </w:rPr>
              <w:t>Asso</w:t>
            </w:r>
            <w:r>
              <w:rPr>
                <w:rFonts w:eastAsiaTheme="minorHAnsi"/>
              </w:rPr>
              <w:t>-</w:t>
            </w:r>
            <w:r w:rsidRPr="00A07E93">
              <w:rPr>
                <w:rFonts w:eastAsiaTheme="minorHAnsi"/>
              </w:rPr>
              <w:t>c</w:t>
            </w:r>
            <w:r>
              <w:rPr>
                <w:rFonts w:eastAsiaTheme="minorHAnsi"/>
              </w:rPr>
              <w:t>iate’s</w:t>
            </w:r>
            <w:r w:rsidRPr="00A07E93">
              <w:rPr>
                <w:rFonts w:eastAsiaTheme="minorHAnsi"/>
              </w:rPr>
              <w:t xml:space="preserve"> Degree</w:t>
            </w:r>
          </w:p>
        </w:tc>
      </w:tr>
      <w:tr w:rsidR="00794210" w:rsidRPr="00A07E93" w14:paraId="35FB3BDB"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9DF5E4A" w14:textId="2A0CC588" w:rsidR="00794210" w:rsidRPr="00284D6F" w:rsidRDefault="00794210" w:rsidP="00CF4D11">
            <w:pPr>
              <w:pStyle w:val="Tablenormalleft"/>
              <w:keepNext w:val="0"/>
              <w:widowControl w:val="0"/>
              <w:jc w:val="left"/>
              <w:rPr>
                <w:rFonts w:eastAsiaTheme="minorHAnsi"/>
                <w:szCs w:val="18"/>
              </w:rPr>
            </w:pPr>
            <w:r w:rsidRPr="00A304D0">
              <w:t>3.0101</w:t>
            </w:r>
          </w:p>
        </w:tc>
        <w:tc>
          <w:tcPr>
            <w:tcW w:w="2340" w:type="dxa"/>
            <w:tcBorders>
              <w:left w:val="single" w:sz="8" w:space="0" w:color="7BA0CD" w:themeColor="accent1" w:themeTint="BF"/>
              <w:right w:val="single" w:sz="8" w:space="0" w:color="7BA0CD" w:themeColor="accent1" w:themeTint="BF"/>
            </w:tcBorders>
          </w:tcPr>
          <w:p w14:paraId="69312B23" w14:textId="1DDF47AA"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Natural </w:t>
            </w:r>
            <w:r w:rsidR="006C38C7" w:rsidRPr="00A304D0">
              <w:t>Resou</w:t>
            </w:r>
            <w:r w:rsidR="006C38C7">
              <w:t>rce</w:t>
            </w:r>
            <w:r w:rsidR="006C38C7" w:rsidRPr="00A304D0">
              <w:t>s</w:t>
            </w:r>
            <w:r w:rsidRPr="00A304D0">
              <w:t>/Conservation, General</w:t>
            </w:r>
          </w:p>
        </w:tc>
        <w:tc>
          <w:tcPr>
            <w:tcW w:w="900" w:type="dxa"/>
            <w:tcBorders>
              <w:left w:val="single" w:sz="8" w:space="0" w:color="7BA0CD" w:themeColor="accent1" w:themeTint="BF"/>
              <w:right w:val="single" w:sz="8" w:space="0" w:color="7BA0CD" w:themeColor="accent1" w:themeTint="BF"/>
            </w:tcBorders>
          </w:tcPr>
          <w:p w14:paraId="1E50D5AD" w14:textId="3C8203C6"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19-1031</w:t>
            </w:r>
          </w:p>
        </w:tc>
        <w:tc>
          <w:tcPr>
            <w:tcW w:w="2340" w:type="dxa"/>
            <w:tcBorders>
              <w:left w:val="single" w:sz="8" w:space="0" w:color="7BA0CD" w:themeColor="accent1" w:themeTint="BF"/>
              <w:right w:val="single" w:sz="8" w:space="0" w:color="7BA0CD" w:themeColor="accent1" w:themeTint="BF"/>
            </w:tcBorders>
          </w:tcPr>
          <w:p w14:paraId="1E222045" w14:textId="044447A4"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Conservation Scientists</w:t>
            </w:r>
          </w:p>
        </w:tc>
        <w:tc>
          <w:tcPr>
            <w:tcW w:w="1080" w:type="dxa"/>
            <w:tcBorders>
              <w:left w:val="single" w:sz="8" w:space="0" w:color="7BA0CD" w:themeColor="accent1" w:themeTint="BF"/>
              <w:right w:val="single" w:sz="8" w:space="0" w:color="7BA0CD" w:themeColor="accent1" w:themeTint="BF"/>
            </w:tcBorders>
          </w:tcPr>
          <w:p w14:paraId="1E3CC96A" w14:textId="39198C8E"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0.12</w:t>
            </w:r>
          </w:p>
        </w:tc>
        <w:tc>
          <w:tcPr>
            <w:tcW w:w="900" w:type="dxa"/>
            <w:tcBorders>
              <w:left w:val="single" w:sz="8" w:space="0" w:color="7BA0CD" w:themeColor="accent1" w:themeTint="BF"/>
              <w:right w:val="single" w:sz="8" w:space="0" w:color="7BA0CD" w:themeColor="accent1" w:themeTint="BF"/>
            </w:tcBorders>
          </w:tcPr>
          <w:p w14:paraId="1D07B2E3" w14:textId="2B69E091"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w:t>
            </w:r>
          </w:p>
        </w:tc>
        <w:tc>
          <w:tcPr>
            <w:tcW w:w="900" w:type="dxa"/>
            <w:tcBorders>
              <w:left w:val="single" w:sz="8" w:space="0" w:color="7BA0CD" w:themeColor="accent1" w:themeTint="BF"/>
            </w:tcBorders>
          </w:tcPr>
          <w:p w14:paraId="4B667DF7" w14:textId="766BDD2D"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13</w:t>
            </w:r>
          </w:p>
        </w:tc>
      </w:tr>
      <w:tr w:rsidR="00794210" w:rsidRPr="00A07E93" w14:paraId="72601F4E"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2341335" w14:textId="127DDEFE" w:rsidR="00794210" w:rsidRPr="00284D6F"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2D19925" w14:textId="179C4F91"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DECDF75" w14:textId="6080B0C7"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19-1032</w:t>
            </w:r>
          </w:p>
        </w:tc>
        <w:tc>
          <w:tcPr>
            <w:tcW w:w="2340" w:type="dxa"/>
            <w:tcBorders>
              <w:left w:val="single" w:sz="8" w:space="0" w:color="7BA0CD" w:themeColor="accent1" w:themeTint="BF"/>
              <w:right w:val="single" w:sz="8" w:space="0" w:color="7BA0CD" w:themeColor="accent1" w:themeTint="BF"/>
            </w:tcBorders>
          </w:tcPr>
          <w:p w14:paraId="63457321" w14:textId="674DE7ED"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Foresters</w:t>
            </w:r>
          </w:p>
        </w:tc>
        <w:tc>
          <w:tcPr>
            <w:tcW w:w="1080" w:type="dxa"/>
            <w:tcBorders>
              <w:left w:val="single" w:sz="8" w:space="0" w:color="7BA0CD" w:themeColor="accent1" w:themeTint="BF"/>
              <w:right w:val="single" w:sz="8" w:space="0" w:color="7BA0CD" w:themeColor="accent1" w:themeTint="BF"/>
            </w:tcBorders>
          </w:tcPr>
          <w:p w14:paraId="7A5E9AD7" w14:textId="23E0FE5E"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0.12</w:t>
            </w:r>
          </w:p>
        </w:tc>
        <w:tc>
          <w:tcPr>
            <w:tcW w:w="900" w:type="dxa"/>
            <w:tcBorders>
              <w:left w:val="single" w:sz="8" w:space="0" w:color="7BA0CD" w:themeColor="accent1" w:themeTint="BF"/>
              <w:right w:val="single" w:sz="8" w:space="0" w:color="7BA0CD" w:themeColor="accent1" w:themeTint="BF"/>
            </w:tcBorders>
          </w:tcPr>
          <w:p w14:paraId="1A6732DA" w14:textId="3A7DF549"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w:t>
            </w:r>
          </w:p>
        </w:tc>
        <w:tc>
          <w:tcPr>
            <w:tcW w:w="900" w:type="dxa"/>
            <w:tcBorders>
              <w:left w:val="single" w:sz="8" w:space="0" w:color="7BA0CD" w:themeColor="accent1" w:themeTint="BF"/>
            </w:tcBorders>
          </w:tcPr>
          <w:p w14:paraId="04169BB5" w14:textId="2DAA1AD1"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13</w:t>
            </w:r>
          </w:p>
        </w:tc>
      </w:tr>
      <w:tr w:rsidR="00794210" w:rsidRPr="00A07E93" w14:paraId="4C7B4298"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C9DE826" w14:textId="734F0557" w:rsidR="00794210" w:rsidRPr="00284D6F"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0DFDA8B" w14:textId="6B992A08"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6CFA6CB" w14:textId="598CD119"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19-4093</w:t>
            </w:r>
          </w:p>
        </w:tc>
        <w:tc>
          <w:tcPr>
            <w:tcW w:w="2340" w:type="dxa"/>
            <w:tcBorders>
              <w:left w:val="single" w:sz="8" w:space="0" w:color="7BA0CD" w:themeColor="accent1" w:themeTint="BF"/>
              <w:right w:val="single" w:sz="8" w:space="0" w:color="7BA0CD" w:themeColor="accent1" w:themeTint="BF"/>
            </w:tcBorders>
          </w:tcPr>
          <w:p w14:paraId="073E783E" w14:textId="1AD589B8"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Forest and Conservation Technicians</w:t>
            </w:r>
          </w:p>
        </w:tc>
        <w:tc>
          <w:tcPr>
            <w:tcW w:w="1080" w:type="dxa"/>
            <w:tcBorders>
              <w:left w:val="single" w:sz="8" w:space="0" w:color="7BA0CD" w:themeColor="accent1" w:themeTint="BF"/>
              <w:right w:val="single" w:sz="8" w:space="0" w:color="7BA0CD" w:themeColor="accent1" w:themeTint="BF"/>
            </w:tcBorders>
          </w:tcPr>
          <w:p w14:paraId="02978DE0" w14:textId="6613AA9C"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0.09</w:t>
            </w:r>
          </w:p>
        </w:tc>
        <w:tc>
          <w:tcPr>
            <w:tcW w:w="900" w:type="dxa"/>
            <w:tcBorders>
              <w:left w:val="single" w:sz="8" w:space="0" w:color="7BA0CD" w:themeColor="accent1" w:themeTint="BF"/>
              <w:right w:val="single" w:sz="8" w:space="0" w:color="7BA0CD" w:themeColor="accent1" w:themeTint="BF"/>
            </w:tcBorders>
          </w:tcPr>
          <w:p w14:paraId="0B2A6DB5" w14:textId="593C6F39"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42</w:t>
            </w:r>
          </w:p>
        </w:tc>
        <w:tc>
          <w:tcPr>
            <w:tcW w:w="900" w:type="dxa"/>
            <w:tcBorders>
              <w:left w:val="single" w:sz="8" w:space="0" w:color="7BA0CD" w:themeColor="accent1" w:themeTint="BF"/>
            </w:tcBorders>
          </w:tcPr>
          <w:p w14:paraId="75BF71BC" w14:textId="21FC5B4E"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54</w:t>
            </w:r>
          </w:p>
        </w:tc>
      </w:tr>
      <w:tr w:rsidR="00794210" w:rsidRPr="00A07E93" w14:paraId="18EBAA55"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FB69969" w14:textId="6FCD67D1" w:rsidR="00794210" w:rsidRPr="00284D6F"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B2822F8" w14:textId="518F106E"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DD2450F" w14:textId="767C56AD"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45-4011</w:t>
            </w:r>
          </w:p>
        </w:tc>
        <w:tc>
          <w:tcPr>
            <w:tcW w:w="2340" w:type="dxa"/>
            <w:tcBorders>
              <w:left w:val="single" w:sz="8" w:space="0" w:color="7BA0CD" w:themeColor="accent1" w:themeTint="BF"/>
              <w:right w:val="single" w:sz="8" w:space="0" w:color="7BA0CD" w:themeColor="accent1" w:themeTint="BF"/>
            </w:tcBorders>
          </w:tcPr>
          <w:p w14:paraId="26B0166F" w14:textId="3DDD13B1"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Forest and Conservation Workers</w:t>
            </w:r>
          </w:p>
        </w:tc>
        <w:tc>
          <w:tcPr>
            <w:tcW w:w="1080" w:type="dxa"/>
            <w:tcBorders>
              <w:left w:val="single" w:sz="8" w:space="0" w:color="7BA0CD" w:themeColor="accent1" w:themeTint="BF"/>
              <w:right w:val="single" w:sz="8" w:space="0" w:color="7BA0CD" w:themeColor="accent1" w:themeTint="BF"/>
            </w:tcBorders>
          </w:tcPr>
          <w:p w14:paraId="4C596CD3" w14:textId="4799DD7B"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0.12</w:t>
            </w:r>
          </w:p>
        </w:tc>
        <w:tc>
          <w:tcPr>
            <w:tcW w:w="900" w:type="dxa"/>
            <w:tcBorders>
              <w:left w:val="single" w:sz="8" w:space="0" w:color="7BA0CD" w:themeColor="accent1" w:themeTint="BF"/>
              <w:right w:val="single" w:sz="8" w:space="0" w:color="7BA0CD" w:themeColor="accent1" w:themeTint="BF"/>
            </w:tcBorders>
          </w:tcPr>
          <w:p w14:paraId="1DB0C5F4" w14:textId="4FB215FE"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73</w:t>
            </w:r>
          </w:p>
        </w:tc>
        <w:tc>
          <w:tcPr>
            <w:tcW w:w="900" w:type="dxa"/>
            <w:tcBorders>
              <w:left w:val="single" w:sz="8" w:space="0" w:color="7BA0CD" w:themeColor="accent1" w:themeTint="BF"/>
            </w:tcBorders>
          </w:tcPr>
          <w:p w14:paraId="21A6D951" w14:textId="461AC11E"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83</w:t>
            </w:r>
          </w:p>
        </w:tc>
      </w:tr>
      <w:tr w:rsidR="00794210" w:rsidRPr="00A07E93" w14:paraId="2FFCEEF3"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3F2314F" w14:textId="6689A72B" w:rsidR="00794210" w:rsidRPr="00284D6F" w:rsidRDefault="00794210" w:rsidP="00CF4D11">
            <w:pPr>
              <w:pStyle w:val="Tablenormalleft"/>
              <w:keepNext w:val="0"/>
              <w:widowControl w:val="0"/>
              <w:jc w:val="left"/>
              <w:rPr>
                <w:rFonts w:eastAsiaTheme="minorHAnsi"/>
                <w:szCs w:val="18"/>
              </w:rPr>
            </w:pPr>
            <w:r w:rsidRPr="00A304D0">
              <w:t>3.0501</w:t>
            </w:r>
          </w:p>
        </w:tc>
        <w:tc>
          <w:tcPr>
            <w:tcW w:w="2340" w:type="dxa"/>
            <w:tcBorders>
              <w:left w:val="single" w:sz="8" w:space="0" w:color="7BA0CD" w:themeColor="accent1" w:themeTint="BF"/>
              <w:right w:val="single" w:sz="8" w:space="0" w:color="7BA0CD" w:themeColor="accent1" w:themeTint="BF"/>
            </w:tcBorders>
          </w:tcPr>
          <w:p w14:paraId="1D5A608B" w14:textId="0F44DD9F"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Forestry, General</w:t>
            </w:r>
          </w:p>
        </w:tc>
        <w:tc>
          <w:tcPr>
            <w:tcW w:w="900" w:type="dxa"/>
            <w:tcBorders>
              <w:left w:val="single" w:sz="8" w:space="0" w:color="7BA0CD" w:themeColor="accent1" w:themeTint="BF"/>
              <w:right w:val="single" w:sz="8" w:space="0" w:color="7BA0CD" w:themeColor="accent1" w:themeTint="BF"/>
            </w:tcBorders>
          </w:tcPr>
          <w:p w14:paraId="2F367ADB" w14:textId="4C38BA06"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19-1031</w:t>
            </w:r>
          </w:p>
        </w:tc>
        <w:tc>
          <w:tcPr>
            <w:tcW w:w="2340" w:type="dxa"/>
            <w:tcBorders>
              <w:left w:val="single" w:sz="8" w:space="0" w:color="7BA0CD" w:themeColor="accent1" w:themeTint="BF"/>
              <w:right w:val="single" w:sz="8" w:space="0" w:color="7BA0CD" w:themeColor="accent1" w:themeTint="BF"/>
            </w:tcBorders>
          </w:tcPr>
          <w:p w14:paraId="5813EC8A" w14:textId="7A6B0FD8"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Conservation Scientists</w:t>
            </w:r>
          </w:p>
        </w:tc>
        <w:tc>
          <w:tcPr>
            <w:tcW w:w="1080" w:type="dxa"/>
            <w:tcBorders>
              <w:left w:val="single" w:sz="8" w:space="0" w:color="7BA0CD" w:themeColor="accent1" w:themeTint="BF"/>
              <w:right w:val="single" w:sz="8" w:space="0" w:color="7BA0CD" w:themeColor="accent1" w:themeTint="BF"/>
            </w:tcBorders>
          </w:tcPr>
          <w:p w14:paraId="0F6640D4" w14:textId="118EF006"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0.88</w:t>
            </w:r>
          </w:p>
        </w:tc>
        <w:tc>
          <w:tcPr>
            <w:tcW w:w="900" w:type="dxa"/>
            <w:tcBorders>
              <w:left w:val="single" w:sz="8" w:space="0" w:color="7BA0CD" w:themeColor="accent1" w:themeTint="BF"/>
              <w:right w:val="single" w:sz="8" w:space="0" w:color="7BA0CD" w:themeColor="accent1" w:themeTint="BF"/>
            </w:tcBorders>
          </w:tcPr>
          <w:p w14:paraId="60D1BE8F" w14:textId="57675EF9"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w:t>
            </w:r>
          </w:p>
        </w:tc>
        <w:tc>
          <w:tcPr>
            <w:tcW w:w="900" w:type="dxa"/>
            <w:tcBorders>
              <w:left w:val="single" w:sz="8" w:space="0" w:color="7BA0CD" w:themeColor="accent1" w:themeTint="BF"/>
            </w:tcBorders>
          </w:tcPr>
          <w:p w14:paraId="698860F8" w14:textId="03DF6579"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13</w:t>
            </w:r>
          </w:p>
        </w:tc>
      </w:tr>
      <w:tr w:rsidR="00794210" w:rsidRPr="00A07E93" w14:paraId="28D6BA0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567A67D" w14:textId="1AFB81B2" w:rsidR="00794210" w:rsidRPr="00284D6F"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46AC474" w14:textId="707FFB47"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EFF7513" w14:textId="59623EF7"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19-1032</w:t>
            </w:r>
          </w:p>
        </w:tc>
        <w:tc>
          <w:tcPr>
            <w:tcW w:w="2340" w:type="dxa"/>
            <w:tcBorders>
              <w:left w:val="single" w:sz="8" w:space="0" w:color="7BA0CD" w:themeColor="accent1" w:themeTint="BF"/>
              <w:right w:val="single" w:sz="8" w:space="0" w:color="7BA0CD" w:themeColor="accent1" w:themeTint="BF"/>
            </w:tcBorders>
          </w:tcPr>
          <w:p w14:paraId="393B3910" w14:textId="5B416659"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Foresters</w:t>
            </w:r>
          </w:p>
        </w:tc>
        <w:tc>
          <w:tcPr>
            <w:tcW w:w="1080" w:type="dxa"/>
            <w:tcBorders>
              <w:left w:val="single" w:sz="8" w:space="0" w:color="7BA0CD" w:themeColor="accent1" w:themeTint="BF"/>
              <w:right w:val="single" w:sz="8" w:space="0" w:color="7BA0CD" w:themeColor="accent1" w:themeTint="BF"/>
            </w:tcBorders>
          </w:tcPr>
          <w:p w14:paraId="3008E884" w14:textId="607D62B9"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0.88</w:t>
            </w:r>
          </w:p>
        </w:tc>
        <w:tc>
          <w:tcPr>
            <w:tcW w:w="900" w:type="dxa"/>
            <w:tcBorders>
              <w:left w:val="single" w:sz="8" w:space="0" w:color="7BA0CD" w:themeColor="accent1" w:themeTint="BF"/>
              <w:right w:val="single" w:sz="8" w:space="0" w:color="7BA0CD" w:themeColor="accent1" w:themeTint="BF"/>
            </w:tcBorders>
          </w:tcPr>
          <w:p w14:paraId="60CCD14A" w14:textId="71D426BC"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w:t>
            </w:r>
          </w:p>
        </w:tc>
        <w:tc>
          <w:tcPr>
            <w:tcW w:w="900" w:type="dxa"/>
            <w:tcBorders>
              <w:left w:val="single" w:sz="8" w:space="0" w:color="7BA0CD" w:themeColor="accent1" w:themeTint="BF"/>
            </w:tcBorders>
          </w:tcPr>
          <w:p w14:paraId="2C85ECB6" w14:textId="6C17F675"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13</w:t>
            </w:r>
          </w:p>
        </w:tc>
      </w:tr>
      <w:tr w:rsidR="00794210" w:rsidRPr="00A07E93" w14:paraId="6D8C2F2A"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0AAF242" w14:textId="0905E690" w:rsidR="00794210" w:rsidRPr="00284D6F"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91CC0C4" w14:textId="1730FCB7"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F1C0388" w14:textId="128DB12A"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19-4093</w:t>
            </w:r>
          </w:p>
        </w:tc>
        <w:tc>
          <w:tcPr>
            <w:tcW w:w="2340" w:type="dxa"/>
            <w:tcBorders>
              <w:left w:val="single" w:sz="8" w:space="0" w:color="7BA0CD" w:themeColor="accent1" w:themeTint="BF"/>
              <w:right w:val="single" w:sz="8" w:space="0" w:color="7BA0CD" w:themeColor="accent1" w:themeTint="BF"/>
            </w:tcBorders>
          </w:tcPr>
          <w:p w14:paraId="20C05A91" w14:textId="011D210A"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Forest and Conservation Technicians</w:t>
            </w:r>
          </w:p>
        </w:tc>
        <w:tc>
          <w:tcPr>
            <w:tcW w:w="1080" w:type="dxa"/>
            <w:tcBorders>
              <w:left w:val="single" w:sz="8" w:space="0" w:color="7BA0CD" w:themeColor="accent1" w:themeTint="BF"/>
              <w:right w:val="single" w:sz="8" w:space="0" w:color="7BA0CD" w:themeColor="accent1" w:themeTint="BF"/>
            </w:tcBorders>
          </w:tcPr>
          <w:p w14:paraId="0E5F1E35" w14:textId="09CB4213"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0.63</w:t>
            </w:r>
          </w:p>
        </w:tc>
        <w:tc>
          <w:tcPr>
            <w:tcW w:w="900" w:type="dxa"/>
            <w:tcBorders>
              <w:left w:val="single" w:sz="8" w:space="0" w:color="7BA0CD" w:themeColor="accent1" w:themeTint="BF"/>
              <w:right w:val="single" w:sz="8" w:space="0" w:color="7BA0CD" w:themeColor="accent1" w:themeTint="BF"/>
            </w:tcBorders>
          </w:tcPr>
          <w:p w14:paraId="72168D33" w14:textId="3D72620E"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42</w:t>
            </w:r>
          </w:p>
        </w:tc>
        <w:tc>
          <w:tcPr>
            <w:tcW w:w="900" w:type="dxa"/>
            <w:tcBorders>
              <w:left w:val="single" w:sz="8" w:space="0" w:color="7BA0CD" w:themeColor="accent1" w:themeTint="BF"/>
            </w:tcBorders>
          </w:tcPr>
          <w:p w14:paraId="6633D556" w14:textId="78653E3D"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54</w:t>
            </w:r>
          </w:p>
        </w:tc>
      </w:tr>
      <w:tr w:rsidR="00794210" w:rsidRPr="00A07E93" w14:paraId="3F97F168"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5FA3FD1" w14:textId="500BF13F" w:rsidR="00794210" w:rsidRPr="00284D6F"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C6EFB6F" w14:textId="3A2ED062"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8B0A83E" w14:textId="426B72D9"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45-4011</w:t>
            </w:r>
          </w:p>
        </w:tc>
        <w:tc>
          <w:tcPr>
            <w:tcW w:w="2340" w:type="dxa"/>
            <w:tcBorders>
              <w:left w:val="single" w:sz="8" w:space="0" w:color="7BA0CD" w:themeColor="accent1" w:themeTint="BF"/>
              <w:right w:val="single" w:sz="8" w:space="0" w:color="7BA0CD" w:themeColor="accent1" w:themeTint="BF"/>
            </w:tcBorders>
          </w:tcPr>
          <w:p w14:paraId="1C3320FA" w14:textId="3CCBEF4A"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Forest and Conservation Workers</w:t>
            </w:r>
          </w:p>
        </w:tc>
        <w:tc>
          <w:tcPr>
            <w:tcW w:w="1080" w:type="dxa"/>
            <w:tcBorders>
              <w:left w:val="single" w:sz="8" w:space="0" w:color="7BA0CD" w:themeColor="accent1" w:themeTint="BF"/>
              <w:right w:val="single" w:sz="8" w:space="0" w:color="7BA0CD" w:themeColor="accent1" w:themeTint="BF"/>
            </w:tcBorders>
          </w:tcPr>
          <w:p w14:paraId="7084D11D" w14:textId="1A7FDF3D"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0.88</w:t>
            </w:r>
          </w:p>
        </w:tc>
        <w:tc>
          <w:tcPr>
            <w:tcW w:w="900" w:type="dxa"/>
            <w:tcBorders>
              <w:left w:val="single" w:sz="8" w:space="0" w:color="7BA0CD" w:themeColor="accent1" w:themeTint="BF"/>
              <w:right w:val="single" w:sz="8" w:space="0" w:color="7BA0CD" w:themeColor="accent1" w:themeTint="BF"/>
            </w:tcBorders>
          </w:tcPr>
          <w:p w14:paraId="32572B84" w14:textId="492F580E"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73</w:t>
            </w:r>
          </w:p>
        </w:tc>
        <w:tc>
          <w:tcPr>
            <w:tcW w:w="900" w:type="dxa"/>
            <w:tcBorders>
              <w:left w:val="single" w:sz="8" w:space="0" w:color="7BA0CD" w:themeColor="accent1" w:themeTint="BF"/>
            </w:tcBorders>
          </w:tcPr>
          <w:p w14:paraId="552D22AC" w14:textId="3BC4FFB7"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83</w:t>
            </w:r>
          </w:p>
        </w:tc>
      </w:tr>
      <w:tr w:rsidR="00794210" w:rsidRPr="00A07E93" w14:paraId="688168AE"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3150337" w14:textId="7578BBBE" w:rsidR="00794210" w:rsidRPr="00284D6F" w:rsidRDefault="00794210" w:rsidP="00CF4D11">
            <w:pPr>
              <w:pStyle w:val="Tablenormalleft"/>
              <w:keepNext w:val="0"/>
              <w:widowControl w:val="0"/>
              <w:jc w:val="left"/>
              <w:rPr>
                <w:rFonts w:eastAsiaTheme="minorHAnsi"/>
                <w:szCs w:val="18"/>
              </w:rPr>
            </w:pPr>
            <w:r w:rsidRPr="00A304D0">
              <w:t>3.0511</w:t>
            </w:r>
          </w:p>
        </w:tc>
        <w:tc>
          <w:tcPr>
            <w:tcW w:w="2340" w:type="dxa"/>
            <w:tcBorders>
              <w:left w:val="single" w:sz="8" w:space="0" w:color="7BA0CD" w:themeColor="accent1" w:themeTint="BF"/>
              <w:right w:val="single" w:sz="8" w:space="0" w:color="7BA0CD" w:themeColor="accent1" w:themeTint="BF"/>
            </w:tcBorders>
          </w:tcPr>
          <w:p w14:paraId="1829260E" w14:textId="017DE746"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Forestry and Conservation Technicians</w:t>
            </w:r>
          </w:p>
        </w:tc>
        <w:tc>
          <w:tcPr>
            <w:tcW w:w="900" w:type="dxa"/>
            <w:tcBorders>
              <w:left w:val="single" w:sz="8" w:space="0" w:color="7BA0CD" w:themeColor="accent1" w:themeTint="BF"/>
              <w:right w:val="single" w:sz="8" w:space="0" w:color="7BA0CD" w:themeColor="accent1" w:themeTint="BF"/>
            </w:tcBorders>
          </w:tcPr>
          <w:p w14:paraId="7DA5AF17" w14:textId="12193FF2"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19-4093</w:t>
            </w:r>
          </w:p>
        </w:tc>
        <w:tc>
          <w:tcPr>
            <w:tcW w:w="2340" w:type="dxa"/>
            <w:tcBorders>
              <w:left w:val="single" w:sz="8" w:space="0" w:color="7BA0CD" w:themeColor="accent1" w:themeTint="BF"/>
              <w:right w:val="single" w:sz="8" w:space="0" w:color="7BA0CD" w:themeColor="accent1" w:themeTint="BF"/>
            </w:tcBorders>
          </w:tcPr>
          <w:p w14:paraId="583AF48C" w14:textId="1E1B1B04"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Forest and Conservation Technicians</w:t>
            </w:r>
          </w:p>
        </w:tc>
        <w:tc>
          <w:tcPr>
            <w:tcW w:w="1080" w:type="dxa"/>
            <w:tcBorders>
              <w:left w:val="single" w:sz="8" w:space="0" w:color="7BA0CD" w:themeColor="accent1" w:themeTint="BF"/>
              <w:right w:val="single" w:sz="8" w:space="0" w:color="7BA0CD" w:themeColor="accent1" w:themeTint="BF"/>
            </w:tcBorders>
          </w:tcPr>
          <w:p w14:paraId="68C48DFA" w14:textId="350B398C"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0.28</w:t>
            </w:r>
          </w:p>
        </w:tc>
        <w:tc>
          <w:tcPr>
            <w:tcW w:w="900" w:type="dxa"/>
            <w:tcBorders>
              <w:left w:val="single" w:sz="8" w:space="0" w:color="7BA0CD" w:themeColor="accent1" w:themeTint="BF"/>
              <w:right w:val="single" w:sz="8" w:space="0" w:color="7BA0CD" w:themeColor="accent1" w:themeTint="BF"/>
            </w:tcBorders>
          </w:tcPr>
          <w:p w14:paraId="578797F8" w14:textId="6E3C52D3"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42</w:t>
            </w:r>
          </w:p>
        </w:tc>
        <w:tc>
          <w:tcPr>
            <w:tcW w:w="900" w:type="dxa"/>
            <w:tcBorders>
              <w:left w:val="single" w:sz="8" w:space="0" w:color="7BA0CD" w:themeColor="accent1" w:themeTint="BF"/>
            </w:tcBorders>
          </w:tcPr>
          <w:p w14:paraId="07DDF15E" w14:textId="58D823B1"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54</w:t>
            </w:r>
          </w:p>
        </w:tc>
      </w:tr>
      <w:tr w:rsidR="00794210" w:rsidRPr="00A07E93" w14:paraId="3F7ABBE6"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799CAA1" w14:textId="5AFF1204" w:rsidR="00794210" w:rsidRPr="00284D6F" w:rsidRDefault="00794210" w:rsidP="00CF4D11">
            <w:pPr>
              <w:pStyle w:val="Tablenormalleft"/>
              <w:keepNext w:val="0"/>
              <w:widowControl w:val="0"/>
              <w:jc w:val="left"/>
              <w:rPr>
                <w:rFonts w:eastAsiaTheme="minorHAnsi"/>
                <w:szCs w:val="18"/>
              </w:rPr>
            </w:pPr>
            <w:r w:rsidRPr="00A304D0">
              <w:t>9.0101</w:t>
            </w:r>
          </w:p>
        </w:tc>
        <w:tc>
          <w:tcPr>
            <w:tcW w:w="2340" w:type="dxa"/>
            <w:tcBorders>
              <w:left w:val="single" w:sz="8" w:space="0" w:color="7BA0CD" w:themeColor="accent1" w:themeTint="BF"/>
              <w:right w:val="single" w:sz="8" w:space="0" w:color="7BA0CD" w:themeColor="accent1" w:themeTint="BF"/>
            </w:tcBorders>
          </w:tcPr>
          <w:p w14:paraId="71FF6025" w14:textId="1F652EDE"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Speech Communication and Rhetoric</w:t>
            </w:r>
          </w:p>
        </w:tc>
        <w:tc>
          <w:tcPr>
            <w:tcW w:w="900" w:type="dxa"/>
            <w:tcBorders>
              <w:left w:val="single" w:sz="8" w:space="0" w:color="7BA0CD" w:themeColor="accent1" w:themeTint="BF"/>
              <w:right w:val="single" w:sz="8" w:space="0" w:color="7BA0CD" w:themeColor="accent1" w:themeTint="BF"/>
            </w:tcBorders>
          </w:tcPr>
          <w:p w14:paraId="6D186D97" w14:textId="4133315D"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27-3012</w:t>
            </w:r>
          </w:p>
        </w:tc>
        <w:tc>
          <w:tcPr>
            <w:tcW w:w="2340" w:type="dxa"/>
            <w:tcBorders>
              <w:left w:val="single" w:sz="8" w:space="0" w:color="7BA0CD" w:themeColor="accent1" w:themeTint="BF"/>
              <w:right w:val="single" w:sz="8" w:space="0" w:color="7BA0CD" w:themeColor="accent1" w:themeTint="BF"/>
            </w:tcBorders>
          </w:tcPr>
          <w:p w14:paraId="5D312753" w14:textId="772B9FC7" w:rsidR="00794210" w:rsidRPr="00284D6F"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Public Address System and Other Announcers</w:t>
            </w:r>
          </w:p>
        </w:tc>
        <w:tc>
          <w:tcPr>
            <w:tcW w:w="1080" w:type="dxa"/>
            <w:tcBorders>
              <w:left w:val="single" w:sz="8" w:space="0" w:color="7BA0CD" w:themeColor="accent1" w:themeTint="BF"/>
              <w:right w:val="single" w:sz="8" w:space="0" w:color="7BA0CD" w:themeColor="accent1" w:themeTint="BF"/>
            </w:tcBorders>
          </w:tcPr>
          <w:p w14:paraId="41BE8387" w14:textId="3CECEA55"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4C8ACDB" w14:textId="1127E2EE"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54</w:t>
            </w:r>
          </w:p>
        </w:tc>
        <w:tc>
          <w:tcPr>
            <w:tcW w:w="900" w:type="dxa"/>
            <w:tcBorders>
              <w:left w:val="single" w:sz="8" w:space="0" w:color="7BA0CD" w:themeColor="accent1" w:themeTint="BF"/>
            </w:tcBorders>
          </w:tcPr>
          <w:p w14:paraId="619C2D17" w14:textId="311CEAF9" w:rsidR="00794210" w:rsidRPr="00284D6F"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61</w:t>
            </w:r>
          </w:p>
        </w:tc>
      </w:tr>
      <w:tr w:rsidR="00794210" w:rsidRPr="00A07E93" w14:paraId="2E85ACFB"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28739A6" w14:textId="7BADB441" w:rsidR="00794210" w:rsidRPr="00284D6F"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8BB8000" w14:textId="78F3D2F6"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C2A7304" w14:textId="6C6AD822"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27-3031</w:t>
            </w:r>
          </w:p>
        </w:tc>
        <w:tc>
          <w:tcPr>
            <w:tcW w:w="2340" w:type="dxa"/>
            <w:tcBorders>
              <w:left w:val="single" w:sz="8" w:space="0" w:color="7BA0CD" w:themeColor="accent1" w:themeTint="BF"/>
              <w:right w:val="single" w:sz="8" w:space="0" w:color="7BA0CD" w:themeColor="accent1" w:themeTint="BF"/>
            </w:tcBorders>
          </w:tcPr>
          <w:p w14:paraId="138B3367" w14:textId="47CBDE56" w:rsidR="00794210" w:rsidRPr="00284D6F"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Public Relations Specialists</w:t>
            </w:r>
          </w:p>
        </w:tc>
        <w:tc>
          <w:tcPr>
            <w:tcW w:w="1080" w:type="dxa"/>
            <w:tcBorders>
              <w:left w:val="single" w:sz="8" w:space="0" w:color="7BA0CD" w:themeColor="accent1" w:themeTint="BF"/>
              <w:right w:val="single" w:sz="8" w:space="0" w:color="7BA0CD" w:themeColor="accent1" w:themeTint="BF"/>
            </w:tcBorders>
          </w:tcPr>
          <w:p w14:paraId="5E3FACD0" w14:textId="4C4BED52"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0.99</w:t>
            </w:r>
          </w:p>
        </w:tc>
        <w:tc>
          <w:tcPr>
            <w:tcW w:w="900" w:type="dxa"/>
            <w:tcBorders>
              <w:left w:val="single" w:sz="8" w:space="0" w:color="7BA0CD" w:themeColor="accent1" w:themeTint="BF"/>
              <w:right w:val="single" w:sz="8" w:space="0" w:color="7BA0CD" w:themeColor="accent1" w:themeTint="BF"/>
            </w:tcBorders>
          </w:tcPr>
          <w:p w14:paraId="4BD5A2D2" w14:textId="7A7E5695"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16</w:t>
            </w:r>
          </w:p>
        </w:tc>
        <w:tc>
          <w:tcPr>
            <w:tcW w:w="900" w:type="dxa"/>
            <w:tcBorders>
              <w:left w:val="single" w:sz="8" w:space="0" w:color="7BA0CD" w:themeColor="accent1" w:themeTint="BF"/>
            </w:tcBorders>
          </w:tcPr>
          <w:p w14:paraId="5DD42469" w14:textId="52C310DE" w:rsidR="00794210" w:rsidRPr="00284D6F"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20</w:t>
            </w:r>
          </w:p>
        </w:tc>
      </w:tr>
      <w:tr w:rsidR="00794210" w:rsidRPr="00A07E93" w14:paraId="62AA13B1"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949F50B" w14:textId="0948CC12"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54A9B5D" w14:textId="750C4AF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A36F5A3" w14:textId="3FB6B55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27-3043</w:t>
            </w:r>
          </w:p>
        </w:tc>
        <w:tc>
          <w:tcPr>
            <w:tcW w:w="2340" w:type="dxa"/>
            <w:tcBorders>
              <w:left w:val="single" w:sz="8" w:space="0" w:color="7BA0CD" w:themeColor="accent1" w:themeTint="BF"/>
              <w:right w:val="single" w:sz="8" w:space="0" w:color="7BA0CD" w:themeColor="accent1" w:themeTint="BF"/>
            </w:tcBorders>
          </w:tcPr>
          <w:p w14:paraId="497A2031" w14:textId="1E945F7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Writers and Authors</w:t>
            </w:r>
          </w:p>
        </w:tc>
        <w:tc>
          <w:tcPr>
            <w:tcW w:w="1080" w:type="dxa"/>
            <w:tcBorders>
              <w:left w:val="single" w:sz="8" w:space="0" w:color="7BA0CD" w:themeColor="accent1" w:themeTint="BF"/>
              <w:right w:val="single" w:sz="8" w:space="0" w:color="7BA0CD" w:themeColor="accent1" w:themeTint="BF"/>
            </w:tcBorders>
          </w:tcPr>
          <w:p w14:paraId="6D31D78F" w14:textId="5D21B0E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0.94</w:t>
            </w:r>
          </w:p>
        </w:tc>
        <w:tc>
          <w:tcPr>
            <w:tcW w:w="900" w:type="dxa"/>
            <w:tcBorders>
              <w:left w:val="single" w:sz="8" w:space="0" w:color="7BA0CD" w:themeColor="accent1" w:themeTint="BF"/>
              <w:right w:val="single" w:sz="8" w:space="0" w:color="7BA0CD" w:themeColor="accent1" w:themeTint="BF"/>
            </w:tcBorders>
          </w:tcPr>
          <w:p w14:paraId="2C276809" w14:textId="6E2C128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12</w:t>
            </w:r>
          </w:p>
        </w:tc>
        <w:tc>
          <w:tcPr>
            <w:tcW w:w="900" w:type="dxa"/>
            <w:tcBorders>
              <w:left w:val="single" w:sz="8" w:space="0" w:color="7BA0CD" w:themeColor="accent1" w:themeTint="BF"/>
            </w:tcBorders>
          </w:tcPr>
          <w:p w14:paraId="7ECEE813" w14:textId="320140A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15</w:t>
            </w:r>
          </w:p>
        </w:tc>
      </w:tr>
      <w:tr w:rsidR="00794210" w:rsidRPr="00A07E93" w14:paraId="4566B098"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1C251A2" w14:textId="7491CC8D" w:rsidR="00794210" w:rsidRPr="004F20A7" w:rsidRDefault="00794210" w:rsidP="00CF4D11">
            <w:pPr>
              <w:pStyle w:val="Tablenormalleft"/>
              <w:keepNext w:val="0"/>
              <w:widowControl w:val="0"/>
              <w:jc w:val="left"/>
              <w:rPr>
                <w:rFonts w:eastAsiaTheme="minorHAnsi"/>
                <w:szCs w:val="18"/>
              </w:rPr>
            </w:pPr>
            <w:r w:rsidRPr="00A304D0">
              <w:t>11.0701</w:t>
            </w:r>
          </w:p>
        </w:tc>
        <w:tc>
          <w:tcPr>
            <w:tcW w:w="2340" w:type="dxa"/>
            <w:tcBorders>
              <w:left w:val="single" w:sz="8" w:space="0" w:color="7BA0CD" w:themeColor="accent1" w:themeTint="BF"/>
              <w:right w:val="single" w:sz="8" w:space="0" w:color="7BA0CD" w:themeColor="accent1" w:themeTint="BF"/>
            </w:tcBorders>
          </w:tcPr>
          <w:p w14:paraId="06C26FA6" w14:textId="64255FD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Computer Science</w:t>
            </w:r>
          </w:p>
        </w:tc>
        <w:tc>
          <w:tcPr>
            <w:tcW w:w="900" w:type="dxa"/>
            <w:tcBorders>
              <w:left w:val="single" w:sz="8" w:space="0" w:color="7BA0CD" w:themeColor="accent1" w:themeTint="BF"/>
              <w:right w:val="single" w:sz="8" w:space="0" w:color="7BA0CD" w:themeColor="accent1" w:themeTint="BF"/>
            </w:tcBorders>
          </w:tcPr>
          <w:p w14:paraId="6C41E4D4" w14:textId="5C2E72C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11-3021</w:t>
            </w:r>
          </w:p>
        </w:tc>
        <w:tc>
          <w:tcPr>
            <w:tcW w:w="2340" w:type="dxa"/>
            <w:tcBorders>
              <w:left w:val="single" w:sz="8" w:space="0" w:color="7BA0CD" w:themeColor="accent1" w:themeTint="BF"/>
              <w:right w:val="single" w:sz="8" w:space="0" w:color="7BA0CD" w:themeColor="accent1" w:themeTint="BF"/>
            </w:tcBorders>
          </w:tcPr>
          <w:p w14:paraId="36F49BB1" w14:textId="0549443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Computer and Information Systems Managers</w:t>
            </w:r>
          </w:p>
        </w:tc>
        <w:tc>
          <w:tcPr>
            <w:tcW w:w="1080" w:type="dxa"/>
            <w:tcBorders>
              <w:left w:val="single" w:sz="8" w:space="0" w:color="7BA0CD" w:themeColor="accent1" w:themeTint="BF"/>
              <w:right w:val="single" w:sz="8" w:space="0" w:color="7BA0CD" w:themeColor="accent1" w:themeTint="BF"/>
            </w:tcBorders>
          </w:tcPr>
          <w:p w14:paraId="6105A6BF" w14:textId="0F4FEE1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0.46</w:t>
            </w:r>
          </w:p>
        </w:tc>
        <w:tc>
          <w:tcPr>
            <w:tcW w:w="900" w:type="dxa"/>
            <w:tcBorders>
              <w:left w:val="single" w:sz="8" w:space="0" w:color="7BA0CD" w:themeColor="accent1" w:themeTint="BF"/>
              <w:right w:val="single" w:sz="8" w:space="0" w:color="7BA0CD" w:themeColor="accent1" w:themeTint="BF"/>
            </w:tcBorders>
          </w:tcPr>
          <w:p w14:paraId="30DAD83C" w14:textId="4B7670E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19</w:t>
            </w:r>
          </w:p>
        </w:tc>
        <w:tc>
          <w:tcPr>
            <w:tcW w:w="900" w:type="dxa"/>
            <w:tcBorders>
              <w:left w:val="single" w:sz="8" w:space="0" w:color="7BA0CD" w:themeColor="accent1" w:themeTint="BF"/>
            </w:tcBorders>
          </w:tcPr>
          <w:p w14:paraId="56A65062" w14:textId="229B3AF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27</w:t>
            </w:r>
          </w:p>
        </w:tc>
      </w:tr>
      <w:tr w:rsidR="00794210" w:rsidRPr="00A07E93" w14:paraId="1472FC06"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F918DC4" w14:textId="67686849"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DF843CF" w14:textId="5C45598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84E5177" w14:textId="653533A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15-1111</w:t>
            </w:r>
          </w:p>
        </w:tc>
        <w:tc>
          <w:tcPr>
            <w:tcW w:w="2340" w:type="dxa"/>
            <w:tcBorders>
              <w:left w:val="single" w:sz="8" w:space="0" w:color="7BA0CD" w:themeColor="accent1" w:themeTint="BF"/>
              <w:right w:val="single" w:sz="8" w:space="0" w:color="7BA0CD" w:themeColor="accent1" w:themeTint="BF"/>
            </w:tcBorders>
          </w:tcPr>
          <w:p w14:paraId="0F97FFFA" w14:textId="3F4A61A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 xml:space="preserve">Computer and Information </w:t>
            </w:r>
            <w:r w:rsidR="006C38C7" w:rsidRPr="005A427B">
              <w:t>Resea</w:t>
            </w:r>
            <w:r w:rsidR="006C38C7">
              <w:t>rch</w:t>
            </w:r>
            <w:r w:rsidRPr="005A427B">
              <w:t xml:space="preserve"> Scientists</w:t>
            </w:r>
          </w:p>
        </w:tc>
        <w:tc>
          <w:tcPr>
            <w:tcW w:w="1080" w:type="dxa"/>
            <w:tcBorders>
              <w:left w:val="single" w:sz="8" w:space="0" w:color="7BA0CD" w:themeColor="accent1" w:themeTint="BF"/>
              <w:right w:val="single" w:sz="8" w:space="0" w:color="7BA0CD" w:themeColor="accent1" w:themeTint="BF"/>
            </w:tcBorders>
          </w:tcPr>
          <w:p w14:paraId="5543C0B5" w14:textId="1337D0B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0.42</w:t>
            </w:r>
          </w:p>
        </w:tc>
        <w:tc>
          <w:tcPr>
            <w:tcW w:w="900" w:type="dxa"/>
            <w:tcBorders>
              <w:left w:val="single" w:sz="8" w:space="0" w:color="7BA0CD" w:themeColor="accent1" w:themeTint="BF"/>
              <w:right w:val="single" w:sz="8" w:space="0" w:color="7BA0CD" w:themeColor="accent1" w:themeTint="BF"/>
            </w:tcBorders>
          </w:tcPr>
          <w:p w14:paraId="2344C403" w14:textId="4FEAD0BF"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6</w:t>
            </w:r>
          </w:p>
        </w:tc>
        <w:tc>
          <w:tcPr>
            <w:tcW w:w="900" w:type="dxa"/>
            <w:tcBorders>
              <w:left w:val="single" w:sz="8" w:space="0" w:color="7BA0CD" w:themeColor="accent1" w:themeTint="BF"/>
            </w:tcBorders>
          </w:tcPr>
          <w:p w14:paraId="20205BEB" w14:textId="6E290F4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w:t>
            </w:r>
          </w:p>
        </w:tc>
      </w:tr>
      <w:tr w:rsidR="00794210" w:rsidRPr="00A07E93" w14:paraId="33200609"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A3B27C2" w14:textId="531A8BBA"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A70EC14" w14:textId="15D8F78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91DBAB9" w14:textId="0F3DD00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15-1122</w:t>
            </w:r>
          </w:p>
        </w:tc>
        <w:tc>
          <w:tcPr>
            <w:tcW w:w="2340" w:type="dxa"/>
            <w:tcBorders>
              <w:left w:val="single" w:sz="8" w:space="0" w:color="7BA0CD" w:themeColor="accent1" w:themeTint="BF"/>
              <w:right w:val="single" w:sz="8" w:space="0" w:color="7BA0CD" w:themeColor="accent1" w:themeTint="BF"/>
            </w:tcBorders>
          </w:tcPr>
          <w:p w14:paraId="5490FD8F" w14:textId="2334371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Information Security Analysts</w:t>
            </w:r>
          </w:p>
        </w:tc>
        <w:tc>
          <w:tcPr>
            <w:tcW w:w="1080" w:type="dxa"/>
            <w:tcBorders>
              <w:left w:val="single" w:sz="8" w:space="0" w:color="7BA0CD" w:themeColor="accent1" w:themeTint="BF"/>
              <w:right w:val="single" w:sz="8" w:space="0" w:color="7BA0CD" w:themeColor="accent1" w:themeTint="BF"/>
            </w:tcBorders>
          </w:tcPr>
          <w:p w14:paraId="595C332F" w14:textId="338699E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0.08</w:t>
            </w:r>
          </w:p>
        </w:tc>
        <w:tc>
          <w:tcPr>
            <w:tcW w:w="900" w:type="dxa"/>
            <w:tcBorders>
              <w:left w:val="single" w:sz="8" w:space="0" w:color="7BA0CD" w:themeColor="accent1" w:themeTint="BF"/>
              <w:right w:val="single" w:sz="8" w:space="0" w:color="7BA0CD" w:themeColor="accent1" w:themeTint="BF"/>
            </w:tcBorders>
          </w:tcPr>
          <w:p w14:paraId="412482EB" w14:textId="0680A8E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29</w:t>
            </w:r>
          </w:p>
        </w:tc>
        <w:tc>
          <w:tcPr>
            <w:tcW w:w="900" w:type="dxa"/>
            <w:tcBorders>
              <w:left w:val="single" w:sz="8" w:space="0" w:color="7BA0CD" w:themeColor="accent1" w:themeTint="BF"/>
            </w:tcBorders>
          </w:tcPr>
          <w:p w14:paraId="30BF39FA" w14:textId="194BD1F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43</w:t>
            </w:r>
          </w:p>
        </w:tc>
      </w:tr>
      <w:tr w:rsidR="00794210" w:rsidRPr="00A07E93" w14:paraId="6A9BB1F8"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E94556B" w14:textId="6FAE863D"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B9DD505" w14:textId="3D1FDAC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101F0EB" w14:textId="3022D5A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15-1131</w:t>
            </w:r>
          </w:p>
        </w:tc>
        <w:tc>
          <w:tcPr>
            <w:tcW w:w="2340" w:type="dxa"/>
            <w:tcBorders>
              <w:left w:val="single" w:sz="8" w:space="0" w:color="7BA0CD" w:themeColor="accent1" w:themeTint="BF"/>
              <w:right w:val="single" w:sz="8" w:space="0" w:color="7BA0CD" w:themeColor="accent1" w:themeTint="BF"/>
            </w:tcBorders>
          </w:tcPr>
          <w:p w14:paraId="42842184" w14:textId="0AAD857D"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Computer Programmers</w:t>
            </w:r>
          </w:p>
        </w:tc>
        <w:tc>
          <w:tcPr>
            <w:tcW w:w="1080" w:type="dxa"/>
            <w:tcBorders>
              <w:left w:val="single" w:sz="8" w:space="0" w:color="7BA0CD" w:themeColor="accent1" w:themeTint="BF"/>
              <w:right w:val="single" w:sz="8" w:space="0" w:color="7BA0CD" w:themeColor="accent1" w:themeTint="BF"/>
            </w:tcBorders>
          </w:tcPr>
          <w:p w14:paraId="62069CFE" w14:textId="594ACE6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0.77</w:t>
            </w:r>
          </w:p>
        </w:tc>
        <w:tc>
          <w:tcPr>
            <w:tcW w:w="900" w:type="dxa"/>
            <w:tcBorders>
              <w:left w:val="single" w:sz="8" w:space="0" w:color="7BA0CD" w:themeColor="accent1" w:themeTint="BF"/>
              <w:right w:val="single" w:sz="8" w:space="0" w:color="7BA0CD" w:themeColor="accent1" w:themeTint="BF"/>
            </w:tcBorders>
          </w:tcPr>
          <w:p w14:paraId="32C1B1FD" w14:textId="2F6F53D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19</w:t>
            </w:r>
          </w:p>
        </w:tc>
        <w:tc>
          <w:tcPr>
            <w:tcW w:w="900" w:type="dxa"/>
            <w:tcBorders>
              <w:left w:val="single" w:sz="8" w:space="0" w:color="7BA0CD" w:themeColor="accent1" w:themeTint="BF"/>
            </w:tcBorders>
          </w:tcPr>
          <w:p w14:paraId="4BD5F819" w14:textId="2957FF6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28</w:t>
            </w:r>
          </w:p>
        </w:tc>
      </w:tr>
      <w:tr w:rsidR="00794210" w:rsidRPr="00A07E93" w14:paraId="0AC2FCED"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2075D98" w14:textId="0D2A7162"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F9E7CA4" w14:textId="022F018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E207320" w14:textId="45AA08A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15-1132</w:t>
            </w:r>
          </w:p>
        </w:tc>
        <w:tc>
          <w:tcPr>
            <w:tcW w:w="2340" w:type="dxa"/>
            <w:tcBorders>
              <w:left w:val="single" w:sz="8" w:space="0" w:color="7BA0CD" w:themeColor="accent1" w:themeTint="BF"/>
              <w:right w:val="single" w:sz="8" w:space="0" w:color="7BA0CD" w:themeColor="accent1" w:themeTint="BF"/>
            </w:tcBorders>
          </w:tcPr>
          <w:p w14:paraId="5DED5A68" w14:textId="3DFD19F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Software Developers, Applications</w:t>
            </w:r>
          </w:p>
        </w:tc>
        <w:tc>
          <w:tcPr>
            <w:tcW w:w="1080" w:type="dxa"/>
            <w:tcBorders>
              <w:left w:val="single" w:sz="8" w:space="0" w:color="7BA0CD" w:themeColor="accent1" w:themeTint="BF"/>
              <w:right w:val="single" w:sz="8" w:space="0" w:color="7BA0CD" w:themeColor="accent1" w:themeTint="BF"/>
            </w:tcBorders>
          </w:tcPr>
          <w:p w14:paraId="75B22211" w14:textId="1FC0557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0.47</w:t>
            </w:r>
          </w:p>
        </w:tc>
        <w:tc>
          <w:tcPr>
            <w:tcW w:w="900" w:type="dxa"/>
            <w:tcBorders>
              <w:left w:val="single" w:sz="8" w:space="0" w:color="7BA0CD" w:themeColor="accent1" w:themeTint="BF"/>
              <w:right w:val="single" w:sz="8" w:space="0" w:color="7BA0CD" w:themeColor="accent1" w:themeTint="BF"/>
            </w:tcBorders>
          </w:tcPr>
          <w:p w14:paraId="4DD1E1A8" w14:textId="03B81EA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11</w:t>
            </w:r>
          </w:p>
        </w:tc>
        <w:tc>
          <w:tcPr>
            <w:tcW w:w="900" w:type="dxa"/>
            <w:tcBorders>
              <w:left w:val="single" w:sz="8" w:space="0" w:color="7BA0CD" w:themeColor="accent1" w:themeTint="BF"/>
            </w:tcBorders>
          </w:tcPr>
          <w:p w14:paraId="07CAD110" w14:textId="3000AC3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16</w:t>
            </w:r>
          </w:p>
        </w:tc>
      </w:tr>
      <w:tr w:rsidR="00794210" w:rsidRPr="00A07E93" w14:paraId="03D06C89"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56DC6B8" w14:textId="71272D43"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F6D6AA5" w14:textId="348A622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3A101B2" w14:textId="7BD886F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15-1133</w:t>
            </w:r>
          </w:p>
        </w:tc>
        <w:tc>
          <w:tcPr>
            <w:tcW w:w="2340" w:type="dxa"/>
            <w:tcBorders>
              <w:left w:val="single" w:sz="8" w:space="0" w:color="7BA0CD" w:themeColor="accent1" w:themeTint="BF"/>
              <w:right w:val="single" w:sz="8" w:space="0" w:color="7BA0CD" w:themeColor="accent1" w:themeTint="BF"/>
            </w:tcBorders>
          </w:tcPr>
          <w:p w14:paraId="02CB0DFE" w14:textId="667E38A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Software Developers, Systems Software</w:t>
            </w:r>
          </w:p>
        </w:tc>
        <w:tc>
          <w:tcPr>
            <w:tcW w:w="1080" w:type="dxa"/>
            <w:tcBorders>
              <w:left w:val="single" w:sz="8" w:space="0" w:color="7BA0CD" w:themeColor="accent1" w:themeTint="BF"/>
              <w:right w:val="single" w:sz="8" w:space="0" w:color="7BA0CD" w:themeColor="accent1" w:themeTint="BF"/>
            </w:tcBorders>
          </w:tcPr>
          <w:p w14:paraId="42E47435" w14:textId="226D8FAF"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0.47</w:t>
            </w:r>
          </w:p>
        </w:tc>
        <w:tc>
          <w:tcPr>
            <w:tcW w:w="900" w:type="dxa"/>
            <w:tcBorders>
              <w:left w:val="single" w:sz="8" w:space="0" w:color="7BA0CD" w:themeColor="accent1" w:themeTint="BF"/>
              <w:right w:val="single" w:sz="8" w:space="0" w:color="7BA0CD" w:themeColor="accent1" w:themeTint="BF"/>
            </w:tcBorders>
          </w:tcPr>
          <w:p w14:paraId="514AF22B" w14:textId="5BCAFAF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11</w:t>
            </w:r>
          </w:p>
        </w:tc>
        <w:tc>
          <w:tcPr>
            <w:tcW w:w="900" w:type="dxa"/>
            <w:tcBorders>
              <w:left w:val="single" w:sz="8" w:space="0" w:color="7BA0CD" w:themeColor="accent1" w:themeTint="BF"/>
            </w:tcBorders>
          </w:tcPr>
          <w:p w14:paraId="43392F17" w14:textId="4596A2A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16</w:t>
            </w:r>
          </w:p>
        </w:tc>
      </w:tr>
      <w:tr w:rsidR="00794210" w:rsidRPr="00A07E93" w14:paraId="03C8DDCB"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DE07BD0" w14:textId="47774780"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7FAD5AB" w14:textId="5CBF199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CE3EBBE" w14:textId="535D013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15-1134</w:t>
            </w:r>
          </w:p>
        </w:tc>
        <w:tc>
          <w:tcPr>
            <w:tcW w:w="2340" w:type="dxa"/>
            <w:tcBorders>
              <w:left w:val="single" w:sz="8" w:space="0" w:color="7BA0CD" w:themeColor="accent1" w:themeTint="BF"/>
              <w:right w:val="single" w:sz="8" w:space="0" w:color="7BA0CD" w:themeColor="accent1" w:themeTint="BF"/>
            </w:tcBorders>
          </w:tcPr>
          <w:p w14:paraId="5ED7C412" w14:textId="68CFE0D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Web Developers</w:t>
            </w:r>
          </w:p>
        </w:tc>
        <w:tc>
          <w:tcPr>
            <w:tcW w:w="1080" w:type="dxa"/>
            <w:tcBorders>
              <w:left w:val="single" w:sz="8" w:space="0" w:color="7BA0CD" w:themeColor="accent1" w:themeTint="BF"/>
              <w:right w:val="single" w:sz="8" w:space="0" w:color="7BA0CD" w:themeColor="accent1" w:themeTint="BF"/>
            </w:tcBorders>
          </w:tcPr>
          <w:p w14:paraId="1689BD89" w14:textId="2A88C1B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0.08</w:t>
            </w:r>
          </w:p>
        </w:tc>
        <w:tc>
          <w:tcPr>
            <w:tcW w:w="900" w:type="dxa"/>
            <w:tcBorders>
              <w:left w:val="single" w:sz="8" w:space="0" w:color="7BA0CD" w:themeColor="accent1" w:themeTint="BF"/>
              <w:right w:val="single" w:sz="8" w:space="0" w:color="7BA0CD" w:themeColor="accent1" w:themeTint="BF"/>
            </w:tcBorders>
          </w:tcPr>
          <w:p w14:paraId="3D38DFD3" w14:textId="61F4CC6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23</w:t>
            </w:r>
          </w:p>
        </w:tc>
        <w:tc>
          <w:tcPr>
            <w:tcW w:w="900" w:type="dxa"/>
            <w:tcBorders>
              <w:left w:val="single" w:sz="8" w:space="0" w:color="7BA0CD" w:themeColor="accent1" w:themeTint="BF"/>
            </w:tcBorders>
          </w:tcPr>
          <w:p w14:paraId="49EF7E30" w14:textId="6D1A94E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31</w:t>
            </w:r>
          </w:p>
        </w:tc>
      </w:tr>
      <w:tr w:rsidR="00794210" w:rsidRPr="00A07E93" w14:paraId="7F33324F"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BF16CDE" w14:textId="6AF151E2"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7EA5C5D" w14:textId="7C5F034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4E61BD9" w14:textId="5AD3127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15-1143</w:t>
            </w:r>
          </w:p>
        </w:tc>
        <w:tc>
          <w:tcPr>
            <w:tcW w:w="2340" w:type="dxa"/>
            <w:tcBorders>
              <w:left w:val="single" w:sz="8" w:space="0" w:color="7BA0CD" w:themeColor="accent1" w:themeTint="BF"/>
              <w:right w:val="single" w:sz="8" w:space="0" w:color="7BA0CD" w:themeColor="accent1" w:themeTint="BF"/>
            </w:tcBorders>
          </w:tcPr>
          <w:p w14:paraId="4AC73949" w14:textId="3137DDA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 xml:space="preserve">Computer Network </w:t>
            </w:r>
            <w:r w:rsidR="006C38C7" w:rsidRPr="005A427B">
              <w:t>A</w:t>
            </w:r>
            <w:r w:rsidR="006C38C7">
              <w:t>rch</w:t>
            </w:r>
            <w:r w:rsidR="006C38C7" w:rsidRPr="005A427B">
              <w:t>itects</w:t>
            </w:r>
          </w:p>
        </w:tc>
        <w:tc>
          <w:tcPr>
            <w:tcW w:w="1080" w:type="dxa"/>
            <w:tcBorders>
              <w:left w:val="single" w:sz="8" w:space="0" w:color="7BA0CD" w:themeColor="accent1" w:themeTint="BF"/>
              <w:right w:val="single" w:sz="8" w:space="0" w:color="7BA0CD" w:themeColor="accent1" w:themeTint="BF"/>
            </w:tcBorders>
          </w:tcPr>
          <w:p w14:paraId="57ED7D1C" w14:textId="694A555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0.08</w:t>
            </w:r>
          </w:p>
        </w:tc>
        <w:tc>
          <w:tcPr>
            <w:tcW w:w="900" w:type="dxa"/>
            <w:tcBorders>
              <w:left w:val="single" w:sz="8" w:space="0" w:color="7BA0CD" w:themeColor="accent1" w:themeTint="BF"/>
              <w:right w:val="single" w:sz="8" w:space="0" w:color="7BA0CD" w:themeColor="accent1" w:themeTint="BF"/>
            </w:tcBorders>
          </w:tcPr>
          <w:p w14:paraId="4CE581F9" w14:textId="43A84BD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27</w:t>
            </w:r>
          </w:p>
        </w:tc>
        <w:tc>
          <w:tcPr>
            <w:tcW w:w="900" w:type="dxa"/>
            <w:tcBorders>
              <w:left w:val="single" w:sz="8" w:space="0" w:color="7BA0CD" w:themeColor="accent1" w:themeTint="BF"/>
            </w:tcBorders>
          </w:tcPr>
          <w:p w14:paraId="1BB80F64" w14:textId="696519C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41</w:t>
            </w:r>
          </w:p>
        </w:tc>
      </w:tr>
      <w:tr w:rsidR="00794210" w:rsidRPr="00A07E93" w14:paraId="4C620849"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A1E0FBC" w14:textId="7AA99E63"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E4E9610" w14:textId="008AB20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7DF9377" w14:textId="364C618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15-1151</w:t>
            </w:r>
          </w:p>
        </w:tc>
        <w:tc>
          <w:tcPr>
            <w:tcW w:w="2340" w:type="dxa"/>
            <w:tcBorders>
              <w:left w:val="single" w:sz="8" w:space="0" w:color="7BA0CD" w:themeColor="accent1" w:themeTint="BF"/>
              <w:right w:val="single" w:sz="8" w:space="0" w:color="7BA0CD" w:themeColor="accent1" w:themeTint="BF"/>
            </w:tcBorders>
          </w:tcPr>
          <w:p w14:paraId="67292A26" w14:textId="20F12DB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Computer User Support Specialists</w:t>
            </w:r>
          </w:p>
        </w:tc>
        <w:tc>
          <w:tcPr>
            <w:tcW w:w="1080" w:type="dxa"/>
            <w:tcBorders>
              <w:left w:val="single" w:sz="8" w:space="0" w:color="7BA0CD" w:themeColor="accent1" w:themeTint="BF"/>
              <w:right w:val="single" w:sz="8" w:space="0" w:color="7BA0CD" w:themeColor="accent1" w:themeTint="BF"/>
            </w:tcBorders>
          </w:tcPr>
          <w:p w14:paraId="3142DF8E" w14:textId="43B0307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0.09</w:t>
            </w:r>
          </w:p>
        </w:tc>
        <w:tc>
          <w:tcPr>
            <w:tcW w:w="900" w:type="dxa"/>
            <w:tcBorders>
              <w:left w:val="single" w:sz="8" w:space="0" w:color="7BA0CD" w:themeColor="accent1" w:themeTint="BF"/>
              <w:right w:val="single" w:sz="8" w:space="0" w:color="7BA0CD" w:themeColor="accent1" w:themeTint="BF"/>
            </w:tcBorders>
          </w:tcPr>
          <w:p w14:paraId="6D8705B4" w14:textId="64E1894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40</w:t>
            </w:r>
          </w:p>
        </w:tc>
        <w:tc>
          <w:tcPr>
            <w:tcW w:w="900" w:type="dxa"/>
            <w:tcBorders>
              <w:left w:val="single" w:sz="8" w:space="0" w:color="7BA0CD" w:themeColor="accent1" w:themeTint="BF"/>
            </w:tcBorders>
          </w:tcPr>
          <w:p w14:paraId="6FF2B04A" w14:textId="4B27A55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57</w:t>
            </w:r>
          </w:p>
        </w:tc>
      </w:tr>
      <w:tr w:rsidR="00794210" w:rsidRPr="00A07E93" w14:paraId="1F2FD307"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7E4A6AB" w14:textId="04446C30"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9DAD945" w14:textId="55E78BFD"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BCDFC2A" w14:textId="16A86E4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15-1152</w:t>
            </w:r>
          </w:p>
        </w:tc>
        <w:tc>
          <w:tcPr>
            <w:tcW w:w="2340" w:type="dxa"/>
            <w:tcBorders>
              <w:left w:val="single" w:sz="8" w:space="0" w:color="7BA0CD" w:themeColor="accent1" w:themeTint="BF"/>
              <w:right w:val="single" w:sz="8" w:space="0" w:color="7BA0CD" w:themeColor="accent1" w:themeTint="BF"/>
            </w:tcBorders>
          </w:tcPr>
          <w:p w14:paraId="584FB7C4" w14:textId="03B29B7D"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Computer Network Support Specialists</w:t>
            </w:r>
          </w:p>
        </w:tc>
        <w:tc>
          <w:tcPr>
            <w:tcW w:w="1080" w:type="dxa"/>
            <w:tcBorders>
              <w:left w:val="single" w:sz="8" w:space="0" w:color="7BA0CD" w:themeColor="accent1" w:themeTint="BF"/>
              <w:right w:val="single" w:sz="8" w:space="0" w:color="7BA0CD" w:themeColor="accent1" w:themeTint="BF"/>
            </w:tcBorders>
          </w:tcPr>
          <w:p w14:paraId="0549B23F" w14:textId="06429A0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0.09</w:t>
            </w:r>
          </w:p>
        </w:tc>
        <w:tc>
          <w:tcPr>
            <w:tcW w:w="900" w:type="dxa"/>
            <w:tcBorders>
              <w:left w:val="single" w:sz="8" w:space="0" w:color="7BA0CD" w:themeColor="accent1" w:themeTint="BF"/>
              <w:right w:val="single" w:sz="8" w:space="0" w:color="7BA0CD" w:themeColor="accent1" w:themeTint="BF"/>
            </w:tcBorders>
          </w:tcPr>
          <w:p w14:paraId="7747DEC5" w14:textId="08B11ED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40</w:t>
            </w:r>
          </w:p>
        </w:tc>
        <w:tc>
          <w:tcPr>
            <w:tcW w:w="900" w:type="dxa"/>
            <w:tcBorders>
              <w:left w:val="single" w:sz="8" w:space="0" w:color="7BA0CD" w:themeColor="accent1" w:themeTint="BF"/>
            </w:tcBorders>
          </w:tcPr>
          <w:p w14:paraId="1B3A1B23" w14:textId="3E79179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57</w:t>
            </w:r>
          </w:p>
        </w:tc>
      </w:tr>
      <w:tr w:rsidR="00794210" w:rsidRPr="00A07E93" w14:paraId="157B4020"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8BF67B2" w14:textId="231F2193" w:rsidR="00794210" w:rsidRPr="004F20A7" w:rsidRDefault="00794210" w:rsidP="00CF4D11">
            <w:pPr>
              <w:pStyle w:val="Tablenormalleft"/>
              <w:keepNext w:val="0"/>
              <w:widowControl w:val="0"/>
              <w:jc w:val="left"/>
              <w:rPr>
                <w:rFonts w:eastAsiaTheme="minorHAnsi"/>
                <w:szCs w:val="18"/>
              </w:rPr>
            </w:pPr>
            <w:r w:rsidRPr="00A304D0">
              <w:lastRenderedPageBreak/>
              <w:t xml:space="preserve"> </w:t>
            </w:r>
          </w:p>
        </w:tc>
        <w:tc>
          <w:tcPr>
            <w:tcW w:w="2340" w:type="dxa"/>
            <w:tcBorders>
              <w:left w:val="single" w:sz="8" w:space="0" w:color="7BA0CD" w:themeColor="accent1" w:themeTint="BF"/>
              <w:right w:val="single" w:sz="8" w:space="0" w:color="7BA0CD" w:themeColor="accent1" w:themeTint="BF"/>
            </w:tcBorders>
          </w:tcPr>
          <w:p w14:paraId="31F9DB53" w14:textId="4D9A746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95FD9D0" w14:textId="7F9B4E0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15-1199</w:t>
            </w:r>
          </w:p>
        </w:tc>
        <w:tc>
          <w:tcPr>
            <w:tcW w:w="2340" w:type="dxa"/>
            <w:tcBorders>
              <w:left w:val="single" w:sz="8" w:space="0" w:color="7BA0CD" w:themeColor="accent1" w:themeTint="BF"/>
              <w:right w:val="single" w:sz="8" w:space="0" w:color="7BA0CD" w:themeColor="accent1" w:themeTint="BF"/>
            </w:tcBorders>
          </w:tcPr>
          <w:p w14:paraId="4D33F886" w14:textId="021BB1B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Computer Occupations, All Other</w:t>
            </w:r>
          </w:p>
        </w:tc>
        <w:tc>
          <w:tcPr>
            <w:tcW w:w="1080" w:type="dxa"/>
            <w:tcBorders>
              <w:left w:val="single" w:sz="8" w:space="0" w:color="7BA0CD" w:themeColor="accent1" w:themeTint="BF"/>
              <w:right w:val="single" w:sz="8" w:space="0" w:color="7BA0CD" w:themeColor="accent1" w:themeTint="BF"/>
            </w:tcBorders>
          </w:tcPr>
          <w:p w14:paraId="5DD1FF19" w14:textId="0D55461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0.54</w:t>
            </w:r>
          </w:p>
        </w:tc>
        <w:tc>
          <w:tcPr>
            <w:tcW w:w="900" w:type="dxa"/>
            <w:tcBorders>
              <w:left w:val="single" w:sz="8" w:space="0" w:color="7BA0CD" w:themeColor="accent1" w:themeTint="BF"/>
              <w:right w:val="single" w:sz="8" w:space="0" w:color="7BA0CD" w:themeColor="accent1" w:themeTint="BF"/>
            </w:tcBorders>
          </w:tcPr>
          <w:p w14:paraId="5C345ACA" w14:textId="56A9540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34</w:t>
            </w:r>
          </w:p>
        </w:tc>
        <w:tc>
          <w:tcPr>
            <w:tcW w:w="900" w:type="dxa"/>
            <w:tcBorders>
              <w:left w:val="single" w:sz="8" w:space="0" w:color="7BA0CD" w:themeColor="accent1" w:themeTint="BF"/>
            </w:tcBorders>
          </w:tcPr>
          <w:p w14:paraId="5F8BE91F" w14:textId="0FBD218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49</w:t>
            </w:r>
          </w:p>
        </w:tc>
      </w:tr>
      <w:tr w:rsidR="00794210" w:rsidRPr="00A07E93" w14:paraId="21B4212A"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457DAC0" w14:textId="7EF57422" w:rsidR="00794210" w:rsidRPr="004F20A7" w:rsidRDefault="00794210" w:rsidP="00CF4D11">
            <w:pPr>
              <w:pStyle w:val="Tablenormalleft"/>
              <w:keepNext w:val="0"/>
              <w:widowControl w:val="0"/>
              <w:jc w:val="left"/>
              <w:rPr>
                <w:rFonts w:eastAsiaTheme="minorHAnsi"/>
                <w:szCs w:val="18"/>
              </w:rPr>
            </w:pPr>
            <w:r w:rsidRPr="00A304D0">
              <w:t>11.0801</w:t>
            </w:r>
          </w:p>
        </w:tc>
        <w:tc>
          <w:tcPr>
            <w:tcW w:w="2340" w:type="dxa"/>
            <w:tcBorders>
              <w:left w:val="single" w:sz="8" w:space="0" w:color="7BA0CD" w:themeColor="accent1" w:themeTint="BF"/>
              <w:right w:val="single" w:sz="8" w:space="0" w:color="7BA0CD" w:themeColor="accent1" w:themeTint="BF"/>
            </w:tcBorders>
          </w:tcPr>
          <w:p w14:paraId="296FCA66" w14:textId="0127142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Web Page, Digital/Multimedia and Information </w:t>
            </w:r>
            <w:r w:rsidR="006C38C7" w:rsidRPr="00A304D0">
              <w:t>Resou</w:t>
            </w:r>
            <w:r w:rsidR="006C38C7">
              <w:t>rce</w:t>
            </w:r>
            <w:r w:rsidR="006C38C7" w:rsidRPr="00A304D0">
              <w:t>s</w:t>
            </w:r>
            <w:r w:rsidRPr="00A304D0">
              <w:t xml:space="preserve"> Design</w:t>
            </w:r>
          </w:p>
        </w:tc>
        <w:tc>
          <w:tcPr>
            <w:tcW w:w="900" w:type="dxa"/>
            <w:tcBorders>
              <w:left w:val="single" w:sz="8" w:space="0" w:color="7BA0CD" w:themeColor="accent1" w:themeTint="BF"/>
              <w:right w:val="single" w:sz="8" w:space="0" w:color="7BA0CD" w:themeColor="accent1" w:themeTint="BF"/>
            </w:tcBorders>
          </w:tcPr>
          <w:p w14:paraId="40B46BF1" w14:textId="70E051A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15-1122</w:t>
            </w:r>
          </w:p>
        </w:tc>
        <w:tc>
          <w:tcPr>
            <w:tcW w:w="2340" w:type="dxa"/>
            <w:tcBorders>
              <w:left w:val="single" w:sz="8" w:space="0" w:color="7BA0CD" w:themeColor="accent1" w:themeTint="BF"/>
              <w:right w:val="single" w:sz="8" w:space="0" w:color="7BA0CD" w:themeColor="accent1" w:themeTint="BF"/>
            </w:tcBorders>
          </w:tcPr>
          <w:p w14:paraId="649DE1ED" w14:textId="709CEDC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Information Security Analysts</w:t>
            </w:r>
          </w:p>
        </w:tc>
        <w:tc>
          <w:tcPr>
            <w:tcW w:w="1080" w:type="dxa"/>
            <w:tcBorders>
              <w:left w:val="single" w:sz="8" w:space="0" w:color="7BA0CD" w:themeColor="accent1" w:themeTint="BF"/>
              <w:right w:val="single" w:sz="8" w:space="0" w:color="7BA0CD" w:themeColor="accent1" w:themeTint="BF"/>
            </w:tcBorders>
          </w:tcPr>
          <w:p w14:paraId="17F13816" w14:textId="7860A1B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0.17</w:t>
            </w:r>
          </w:p>
        </w:tc>
        <w:tc>
          <w:tcPr>
            <w:tcW w:w="900" w:type="dxa"/>
            <w:tcBorders>
              <w:left w:val="single" w:sz="8" w:space="0" w:color="7BA0CD" w:themeColor="accent1" w:themeTint="BF"/>
              <w:right w:val="single" w:sz="8" w:space="0" w:color="7BA0CD" w:themeColor="accent1" w:themeTint="BF"/>
            </w:tcBorders>
          </w:tcPr>
          <w:p w14:paraId="1C01688E" w14:textId="562897D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29</w:t>
            </w:r>
          </w:p>
        </w:tc>
        <w:tc>
          <w:tcPr>
            <w:tcW w:w="900" w:type="dxa"/>
            <w:tcBorders>
              <w:left w:val="single" w:sz="8" w:space="0" w:color="7BA0CD" w:themeColor="accent1" w:themeTint="BF"/>
            </w:tcBorders>
          </w:tcPr>
          <w:p w14:paraId="7D14CAC7" w14:textId="60B1F269"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43</w:t>
            </w:r>
          </w:p>
        </w:tc>
      </w:tr>
      <w:tr w:rsidR="00794210" w:rsidRPr="00A07E93" w14:paraId="0B420562"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6691F41" w14:textId="623EDE37"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9E0AFAB" w14:textId="47A397D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BC00FA9" w14:textId="0CF9ADE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15-1134</w:t>
            </w:r>
          </w:p>
        </w:tc>
        <w:tc>
          <w:tcPr>
            <w:tcW w:w="2340" w:type="dxa"/>
            <w:tcBorders>
              <w:left w:val="single" w:sz="8" w:space="0" w:color="7BA0CD" w:themeColor="accent1" w:themeTint="BF"/>
              <w:right w:val="single" w:sz="8" w:space="0" w:color="7BA0CD" w:themeColor="accent1" w:themeTint="BF"/>
            </w:tcBorders>
          </w:tcPr>
          <w:p w14:paraId="32258662" w14:textId="731AABB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Web Developers</w:t>
            </w:r>
          </w:p>
        </w:tc>
        <w:tc>
          <w:tcPr>
            <w:tcW w:w="1080" w:type="dxa"/>
            <w:tcBorders>
              <w:left w:val="single" w:sz="8" w:space="0" w:color="7BA0CD" w:themeColor="accent1" w:themeTint="BF"/>
              <w:right w:val="single" w:sz="8" w:space="0" w:color="7BA0CD" w:themeColor="accent1" w:themeTint="BF"/>
            </w:tcBorders>
          </w:tcPr>
          <w:p w14:paraId="64A13C16" w14:textId="423569E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0.17</w:t>
            </w:r>
          </w:p>
        </w:tc>
        <w:tc>
          <w:tcPr>
            <w:tcW w:w="900" w:type="dxa"/>
            <w:tcBorders>
              <w:left w:val="single" w:sz="8" w:space="0" w:color="7BA0CD" w:themeColor="accent1" w:themeTint="BF"/>
              <w:right w:val="single" w:sz="8" w:space="0" w:color="7BA0CD" w:themeColor="accent1" w:themeTint="BF"/>
            </w:tcBorders>
          </w:tcPr>
          <w:p w14:paraId="188AF3B5" w14:textId="38D6E4D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23</w:t>
            </w:r>
          </w:p>
        </w:tc>
        <w:tc>
          <w:tcPr>
            <w:tcW w:w="900" w:type="dxa"/>
            <w:tcBorders>
              <w:left w:val="single" w:sz="8" w:space="0" w:color="7BA0CD" w:themeColor="accent1" w:themeTint="BF"/>
            </w:tcBorders>
          </w:tcPr>
          <w:p w14:paraId="25B426D2" w14:textId="6BF8301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31</w:t>
            </w:r>
          </w:p>
        </w:tc>
      </w:tr>
      <w:tr w:rsidR="00794210" w:rsidRPr="00A07E93" w14:paraId="7EA95B5A"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ED531D3" w14:textId="76292D5D"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3E578D1" w14:textId="312E58A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558CBDC" w14:textId="5F98704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15-1143</w:t>
            </w:r>
          </w:p>
        </w:tc>
        <w:tc>
          <w:tcPr>
            <w:tcW w:w="2340" w:type="dxa"/>
            <w:tcBorders>
              <w:left w:val="single" w:sz="8" w:space="0" w:color="7BA0CD" w:themeColor="accent1" w:themeTint="BF"/>
              <w:right w:val="single" w:sz="8" w:space="0" w:color="7BA0CD" w:themeColor="accent1" w:themeTint="BF"/>
            </w:tcBorders>
          </w:tcPr>
          <w:p w14:paraId="5A9179E8" w14:textId="22EA71B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 xml:space="preserve">Computer Network </w:t>
            </w:r>
            <w:r w:rsidR="006C38C7" w:rsidRPr="005A427B">
              <w:t>A</w:t>
            </w:r>
            <w:r w:rsidR="006C38C7">
              <w:t>rch</w:t>
            </w:r>
            <w:r w:rsidR="006C38C7" w:rsidRPr="005A427B">
              <w:t>itects</w:t>
            </w:r>
          </w:p>
        </w:tc>
        <w:tc>
          <w:tcPr>
            <w:tcW w:w="1080" w:type="dxa"/>
            <w:tcBorders>
              <w:left w:val="single" w:sz="8" w:space="0" w:color="7BA0CD" w:themeColor="accent1" w:themeTint="BF"/>
              <w:right w:val="single" w:sz="8" w:space="0" w:color="7BA0CD" w:themeColor="accent1" w:themeTint="BF"/>
            </w:tcBorders>
          </w:tcPr>
          <w:p w14:paraId="19FEA1F5" w14:textId="50601B2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0.17</w:t>
            </w:r>
          </w:p>
        </w:tc>
        <w:tc>
          <w:tcPr>
            <w:tcW w:w="900" w:type="dxa"/>
            <w:tcBorders>
              <w:left w:val="single" w:sz="8" w:space="0" w:color="7BA0CD" w:themeColor="accent1" w:themeTint="BF"/>
              <w:right w:val="single" w:sz="8" w:space="0" w:color="7BA0CD" w:themeColor="accent1" w:themeTint="BF"/>
            </w:tcBorders>
          </w:tcPr>
          <w:p w14:paraId="58980453" w14:textId="42DA115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27</w:t>
            </w:r>
          </w:p>
        </w:tc>
        <w:tc>
          <w:tcPr>
            <w:tcW w:w="900" w:type="dxa"/>
            <w:tcBorders>
              <w:left w:val="single" w:sz="8" w:space="0" w:color="7BA0CD" w:themeColor="accent1" w:themeTint="BF"/>
            </w:tcBorders>
          </w:tcPr>
          <w:p w14:paraId="5AEAD990" w14:textId="204ACFC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41</w:t>
            </w:r>
          </w:p>
        </w:tc>
      </w:tr>
      <w:tr w:rsidR="00794210" w:rsidRPr="00A07E93" w14:paraId="310098CE"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2227711" w14:textId="21DA3F7E"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F3EAC41" w14:textId="5EF8B97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26314B9" w14:textId="627119D9"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27-1014</w:t>
            </w:r>
          </w:p>
        </w:tc>
        <w:tc>
          <w:tcPr>
            <w:tcW w:w="2340" w:type="dxa"/>
            <w:tcBorders>
              <w:left w:val="single" w:sz="8" w:space="0" w:color="7BA0CD" w:themeColor="accent1" w:themeTint="BF"/>
              <w:right w:val="single" w:sz="8" w:space="0" w:color="7BA0CD" w:themeColor="accent1" w:themeTint="BF"/>
            </w:tcBorders>
          </w:tcPr>
          <w:p w14:paraId="0E1EF89E" w14:textId="2C1BAE0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Multimedia Artists and Animators</w:t>
            </w:r>
          </w:p>
        </w:tc>
        <w:tc>
          <w:tcPr>
            <w:tcW w:w="1080" w:type="dxa"/>
            <w:tcBorders>
              <w:left w:val="single" w:sz="8" w:space="0" w:color="7BA0CD" w:themeColor="accent1" w:themeTint="BF"/>
              <w:right w:val="single" w:sz="8" w:space="0" w:color="7BA0CD" w:themeColor="accent1" w:themeTint="BF"/>
            </w:tcBorders>
          </w:tcPr>
          <w:p w14:paraId="55347F18" w14:textId="4C75EB0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0.52</w:t>
            </w:r>
          </w:p>
        </w:tc>
        <w:tc>
          <w:tcPr>
            <w:tcW w:w="900" w:type="dxa"/>
            <w:tcBorders>
              <w:left w:val="single" w:sz="8" w:space="0" w:color="7BA0CD" w:themeColor="accent1" w:themeTint="BF"/>
              <w:right w:val="single" w:sz="8" w:space="0" w:color="7BA0CD" w:themeColor="accent1" w:themeTint="BF"/>
            </w:tcBorders>
          </w:tcPr>
          <w:p w14:paraId="59FC9050" w14:textId="52F1ABB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34</w:t>
            </w:r>
          </w:p>
        </w:tc>
        <w:tc>
          <w:tcPr>
            <w:tcW w:w="900" w:type="dxa"/>
            <w:tcBorders>
              <w:left w:val="single" w:sz="8" w:space="0" w:color="7BA0CD" w:themeColor="accent1" w:themeTint="BF"/>
            </w:tcBorders>
          </w:tcPr>
          <w:p w14:paraId="493929AC" w14:textId="695D6D4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43</w:t>
            </w:r>
          </w:p>
        </w:tc>
      </w:tr>
      <w:tr w:rsidR="00794210" w:rsidRPr="00A07E93" w14:paraId="1D774BF8"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EF2F132" w14:textId="4E9722B1"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91C0D9D" w14:textId="7B09FEB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4432304" w14:textId="0F41745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27-1024</w:t>
            </w:r>
          </w:p>
        </w:tc>
        <w:tc>
          <w:tcPr>
            <w:tcW w:w="2340" w:type="dxa"/>
            <w:tcBorders>
              <w:left w:val="single" w:sz="8" w:space="0" w:color="7BA0CD" w:themeColor="accent1" w:themeTint="BF"/>
              <w:right w:val="single" w:sz="8" w:space="0" w:color="7BA0CD" w:themeColor="accent1" w:themeTint="BF"/>
            </w:tcBorders>
          </w:tcPr>
          <w:p w14:paraId="2EA32845" w14:textId="015F43C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Graphic Designers</w:t>
            </w:r>
          </w:p>
        </w:tc>
        <w:tc>
          <w:tcPr>
            <w:tcW w:w="1080" w:type="dxa"/>
            <w:tcBorders>
              <w:left w:val="single" w:sz="8" w:space="0" w:color="7BA0CD" w:themeColor="accent1" w:themeTint="BF"/>
              <w:right w:val="single" w:sz="8" w:space="0" w:color="7BA0CD" w:themeColor="accent1" w:themeTint="BF"/>
            </w:tcBorders>
          </w:tcPr>
          <w:p w14:paraId="444CB469" w14:textId="2C8C5B09"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0.55</w:t>
            </w:r>
          </w:p>
        </w:tc>
        <w:tc>
          <w:tcPr>
            <w:tcW w:w="900" w:type="dxa"/>
            <w:tcBorders>
              <w:left w:val="single" w:sz="8" w:space="0" w:color="7BA0CD" w:themeColor="accent1" w:themeTint="BF"/>
              <w:right w:val="single" w:sz="8" w:space="0" w:color="7BA0CD" w:themeColor="accent1" w:themeTint="BF"/>
            </w:tcBorders>
          </w:tcPr>
          <w:p w14:paraId="4DB1F5B6" w14:textId="097B9A5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31</w:t>
            </w:r>
          </w:p>
        </w:tc>
        <w:tc>
          <w:tcPr>
            <w:tcW w:w="900" w:type="dxa"/>
            <w:tcBorders>
              <w:left w:val="single" w:sz="8" w:space="0" w:color="7BA0CD" w:themeColor="accent1" w:themeTint="BF"/>
            </w:tcBorders>
          </w:tcPr>
          <w:p w14:paraId="3F2C3197" w14:textId="75B5DB9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44</w:t>
            </w:r>
          </w:p>
        </w:tc>
      </w:tr>
      <w:tr w:rsidR="00794210" w:rsidRPr="00A07E93" w14:paraId="021E35ED"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4AA21F8" w14:textId="76ACD033" w:rsidR="00794210" w:rsidRPr="004F20A7" w:rsidRDefault="00794210" w:rsidP="00CF4D11">
            <w:pPr>
              <w:pStyle w:val="Tablenormalleft"/>
              <w:keepNext w:val="0"/>
              <w:widowControl w:val="0"/>
              <w:jc w:val="left"/>
              <w:rPr>
                <w:rFonts w:eastAsiaTheme="minorHAnsi"/>
                <w:szCs w:val="18"/>
              </w:rPr>
            </w:pPr>
            <w:r w:rsidRPr="00A304D0">
              <w:t>11.1006</w:t>
            </w:r>
          </w:p>
        </w:tc>
        <w:tc>
          <w:tcPr>
            <w:tcW w:w="2340" w:type="dxa"/>
            <w:tcBorders>
              <w:left w:val="single" w:sz="8" w:space="0" w:color="7BA0CD" w:themeColor="accent1" w:themeTint="BF"/>
              <w:right w:val="single" w:sz="8" w:space="0" w:color="7BA0CD" w:themeColor="accent1" w:themeTint="BF"/>
            </w:tcBorders>
          </w:tcPr>
          <w:p w14:paraId="0DE5D567" w14:textId="7417A8E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Computer Support Specialist</w:t>
            </w:r>
          </w:p>
        </w:tc>
        <w:tc>
          <w:tcPr>
            <w:tcW w:w="900" w:type="dxa"/>
            <w:tcBorders>
              <w:left w:val="single" w:sz="8" w:space="0" w:color="7BA0CD" w:themeColor="accent1" w:themeTint="BF"/>
              <w:right w:val="single" w:sz="8" w:space="0" w:color="7BA0CD" w:themeColor="accent1" w:themeTint="BF"/>
            </w:tcBorders>
          </w:tcPr>
          <w:p w14:paraId="45388DA2" w14:textId="7D7FC76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15-1151</w:t>
            </w:r>
          </w:p>
        </w:tc>
        <w:tc>
          <w:tcPr>
            <w:tcW w:w="2340" w:type="dxa"/>
            <w:tcBorders>
              <w:left w:val="single" w:sz="8" w:space="0" w:color="7BA0CD" w:themeColor="accent1" w:themeTint="BF"/>
              <w:right w:val="single" w:sz="8" w:space="0" w:color="7BA0CD" w:themeColor="accent1" w:themeTint="BF"/>
            </w:tcBorders>
          </w:tcPr>
          <w:p w14:paraId="259E690E" w14:textId="7C947AA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Computer User Support Specialists</w:t>
            </w:r>
          </w:p>
        </w:tc>
        <w:tc>
          <w:tcPr>
            <w:tcW w:w="1080" w:type="dxa"/>
            <w:tcBorders>
              <w:left w:val="single" w:sz="8" w:space="0" w:color="7BA0CD" w:themeColor="accent1" w:themeTint="BF"/>
              <w:right w:val="single" w:sz="8" w:space="0" w:color="7BA0CD" w:themeColor="accent1" w:themeTint="BF"/>
            </w:tcBorders>
          </w:tcPr>
          <w:p w14:paraId="4930F276" w14:textId="65BACD2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0.20</w:t>
            </w:r>
          </w:p>
        </w:tc>
        <w:tc>
          <w:tcPr>
            <w:tcW w:w="900" w:type="dxa"/>
            <w:tcBorders>
              <w:left w:val="single" w:sz="8" w:space="0" w:color="7BA0CD" w:themeColor="accent1" w:themeTint="BF"/>
              <w:right w:val="single" w:sz="8" w:space="0" w:color="7BA0CD" w:themeColor="accent1" w:themeTint="BF"/>
            </w:tcBorders>
          </w:tcPr>
          <w:p w14:paraId="75D2716E" w14:textId="218208F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40</w:t>
            </w:r>
          </w:p>
        </w:tc>
        <w:tc>
          <w:tcPr>
            <w:tcW w:w="900" w:type="dxa"/>
            <w:tcBorders>
              <w:left w:val="single" w:sz="8" w:space="0" w:color="7BA0CD" w:themeColor="accent1" w:themeTint="BF"/>
            </w:tcBorders>
          </w:tcPr>
          <w:p w14:paraId="25567DA0" w14:textId="2884756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57</w:t>
            </w:r>
          </w:p>
        </w:tc>
      </w:tr>
      <w:tr w:rsidR="00794210" w:rsidRPr="00A07E93" w14:paraId="41E45F0C"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C076D8F" w14:textId="1F79165F"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402E417" w14:textId="79472EC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DF5085F" w14:textId="33203BA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15-1152</w:t>
            </w:r>
          </w:p>
        </w:tc>
        <w:tc>
          <w:tcPr>
            <w:tcW w:w="2340" w:type="dxa"/>
            <w:tcBorders>
              <w:left w:val="single" w:sz="8" w:space="0" w:color="7BA0CD" w:themeColor="accent1" w:themeTint="BF"/>
              <w:right w:val="single" w:sz="8" w:space="0" w:color="7BA0CD" w:themeColor="accent1" w:themeTint="BF"/>
            </w:tcBorders>
          </w:tcPr>
          <w:p w14:paraId="5C4ED8F6" w14:textId="29F526D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Computer Network Support Specialists</w:t>
            </w:r>
          </w:p>
        </w:tc>
        <w:tc>
          <w:tcPr>
            <w:tcW w:w="1080" w:type="dxa"/>
            <w:tcBorders>
              <w:left w:val="single" w:sz="8" w:space="0" w:color="7BA0CD" w:themeColor="accent1" w:themeTint="BF"/>
              <w:right w:val="single" w:sz="8" w:space="0" w:color="7BA0CD" w:themeColor="accent1" w:themeTint="BF"/>
            </w:tcBorders>
          </w:tcPr>
          <w:p w14:paraId="57E634E6" w14:textId="0CD7362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0.20</w:t>
            </w:r>
          </w:p>
        </w:tc>
        <w:tc>
          <w:tcPr>
            <w:tcW w:w="900" w:type="dxa"/>
            <w:tcBorders>
              <w:left w:val="single" w:sz="8" w:space="0" w:color="7BA0CD" w:themeColor="accent1" w:themeTint="BF"/>
              <w:right w:val="single" w:sz="8" w:space="0" w:color="7BA0CD" w:themeColor="accent1" w:themeTint="BF"/>
            </w:tcBorders>
          </w:tcPr>
          <w:p w14:paraId="35884C19" w14:textId="497F52B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40</w:t>
            </w:r>
          </w:p>
        </w:tc>
        <w:tc>
          <w:tcPr>
            <w:tcW w:w="900" w:type="dxa"/>
            <w:tcBorders>
              <w:left w:val="single" w:sz="8" w:space="0" w:color="7BA0CD" w:themeColor="accent1" w:themeTint="BF"/>
            </w:tcBorders>
          </w:tcPr>
          <w:p w14:paraId="48DC2E2D" w14:textId="7ABEFFE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57</w:t>
            </w:r>
          </w:p>
        </w:tc>
      </w:tr>
      <w:tr w:rsidR="00794210" w:rsidRPr="00A07E93" w14:paraId="5737B2E2"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11F1C02" w14:textId="50D7A2AA" w:rsidR="00794210" w:rsidRPr="004F20A7" w:rsidRDefault="00794210" w:rsidP="00CF4D11">
            <w:pPr>
              <w:pStyle w:val="Tablenormalleft"/>
              <w:keepNext w:val="0"/>
              <w:widowControl w:val="0"/>
              <w:jc w:val="left"/>
              <w:rPr>
                <w:rFonts w:eastAsiaTheme="minorHAnsi"/>
                <w:szCs w:val="18"/>
              </w:rPr>
            </w:pPr>
            <w:r w:rsidRPr="00A304D0">
              <w:t>13.121</w:t>
            </w:r>
          </w:p>
        </w:tc>
        <w:tc>
          <w:tcPr>
            <w:tcW w:w="2340" w:type="dxa"/>
            <w:tcBorders>
              <w:left w:val="single" w:sz="8" w:space="0" w:color="7BA0CD" w:themeColor="accent1" w:themeTint="BF"/>
              <w:right w:val="single" w:sz="8" w:space="0" w:color="7BA0CD" w:themeColor="accent1" w:themeTint="BF"/>
            </w:tcBorders>
          </w:tcPr>
          <w:p w14:paraId="518271F6" w14:textId="352CD70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Early Childhood Education and Teaching</w:t>
            </w:r>
          </w:p>
        </w:tc>
        <w:tc>
          <w:tcPr>
            <w:tcW w:w="900" w:type="dxa"/>
            <w:tcBorders>
              <w:left w:val="single" w:sz="8" w:space="0" w:color="7BA0CD" w:themeColor="accent1" w:themeTint="BF"/>
              <w:right w:val="single" w:sz="8" w:space="0" w:color="7BA0CD" w:themeColor="accent1" w:themeTint="BF"/>
            </w:tcBorders>
          </w:tcPr>
          <w:p w14:paraId="145AC02A" w14:textId="34F05BA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25-2011</w:t>
            </w:r>
          </w:p>
        </w:tc>
        <w:tc>
          <w:tcPr>
            <w:tcW w:w="2340" w:type="dxa"/>
            <w:tcBorders>
              <w:left w:val="single" w:sz="8" w:space="0" w:color="7BA0CD" w:themeColor="accent1" w:themeTint="BF"/>
              <w:right w:val="single" w:sz="8" w:space="0" w:color="7BA0CD" w:themeColor="accent1" w:themeTint="BF"/>
            </w:tcBorders>
          </w:tcPr>
          <w:p w14:paraId="788ABDE8" w14:textId="53F6BB8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Preschool Teachers, Except Special Education</w:t>
            </w:r>
          </w:p>
        </w:tc>
        <w:tc>
          <w:tcPr>
            <w:tcW w:w="1080" w:type="dxa"/>
            <w:tcBorders>
              <w:left w:val="single" w:sz="8" w:space="0" w:color="7BA0CD" w:themeColor="accent1" w:themeTint="BF"/>
              <w:right w:val="single" w:sz="8" w:space="0" w:color="7BA0CD" w:themeColor="accent1" w:themeTint="BF"/>
            </w:tcBorders>
          </w:tcPr>
          <w:p w14:paraId="7DA46563" w14:textId="5443CD4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0.35</w:t>
            </w:r>
          </w:p>
        </w:tc>
        <w:tc>
          <w:tcPr>
            <w:tcW w:w="900" w:type="dxa"/>
            <w:tcBorders>
              <w:left w:val="single" w:sz="8" w:space="0" w:color="7BA0CD" w:themeColor="accent1" w:themeTint="BF"/>
              <w:right w:val="single" w:sz="8" w:space="0" w:color="7BA0CD" w:themeColor="accent1" w:themeTint="BF"/>
            </w:tcBorders>
          </w:tcPr>
          <w:p w14:paraId="26D28DC3" w14:textId="1F31589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39</w:t>
            </w:r>
          </w:p>
        </w:tc>
        <w:tc>
          <w:tcPr>
            <w:tcW w:w="900" w:type="dxa"/>
            <w:tcBorders>
              <w:left w:val="single" w:sz="8" w:space="0" w:color="7BA0CD" w:themeColor="accent1" w:themeTint="BF"/>
            </w:tcBorders>
          </w:tcPr>
          <w:p w14:paraId="769542FC" w14:textId="3AEEADE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53</w:t>
            </w:r>
          </w:p>
        </w:tc>
      </w:tr>
      <w:tr w:rsidR="00794210" w:rsidRPr="00A07E93" w14:paraId="3B54F17D"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ED6732D" w14:textId="34300B92"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40D4E7A" w14:textId="44DE02C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D8882F4" w14:textId="0200712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25-2012</w:t>
            </w:r>
          </w:p>
        </w:tc>
        <w:tc>
          <w:tcPr>
            <w:tcW w:w="2340" w:type="dxa"/>
            <w:tcBorders>
              <w:left w:val="single" w:sz="8" w:space="0" w:color="7BA0CD" w:themeColor="accent1" w:themeTint="BF"/>
              <w:right w:val="single" w:sz="8" w:space="0" w:color="7BA0CD" w:themeColor="accent1" w:themeTint="BF"/>
            </w:tcBorders>
          </w:tcPr>
          <w:p w14:paraId="19147BF2" w14:textId="0095D4BD"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Kindergarten Teachers, Except Special Education</w:t>
            </w:r>
          </w:p>
        </w:tc>
        <w:tc>
          <w:tcPr>
            <w:tcW w:w="1080" w:type="dxa"/>
            <w:tcBorders>
              <w:left w:val="single" w:sz="8" w:space="0" w:color="7BA0CD" w:themeColor="accent1" w:themeTint="BF"/>
              <w:right w:val="single" w:sz="8" w:space="0" w:color="7BA0CD" w:themeColor="accent1" w:themeTint="BF"/>
            </w:tcBorders>
          </w:tcPr>
          <w:p w14:paraId="41E3BA52" w14:textId="4F0D520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0.55</w:t>
            </w:r>
          </w:p>
        </w:tc>
        <w:tc>
          <w:tcPr>
            <w:tcW w:w="900" w:type="dxa"/>
            <w:tcBorders>
              <w:left w:val="single" w:sz="8" w:space="0" w:color="7BA0CD" w:themeColor="accent1" w:themeTint="BF"/>
              <w:right w:val="single" w:sz="8" w:space="0" w:color="7BA0CD" w:themeColor="accent1" w:themeTint="BF"/>
            </w:tcBorders>
          </w:tcPr>
          <w:p w14:paraId="586FB999" w14:textId="6BDAF31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39</w:t>
            </w:r>
          </w:p>
        </w:tc>
        <w:tc>
          <w:tcPr>
            <w:tcW w:w="900" w:type="dxa"/>
            <w:tcBorders>
              <w:left w:val="single" w:sz="8" w:space="0" w:color="7BA0CD" w:themeColor="accent1" w:themeTint="BF"/>
            </w:tcBorders>
          </w:tcPr>
          <w:p w14:paraId="51300C4E" w14:textId="6B1C203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53</w:t>
            </w:r>
          </w:p>
        </w:tc>
      </w:tr>
      <w:tr w:rsidR="00794210" w:rsidRPr="00A07E93" w14:paraId="38160A46"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4C12A7E" w14:textId="72D0FE19" w:rsidR="00794210" w:rsidRPr="004F20A7" w:rsidRDefault="00794210" w:rsidP="00CF4D11">
            <w:pPr>
              <w:pStyle w:val="Tablenormalleft"/>
              <w:keepNext w:val="0"/>
              <w:widowControl w:val="0"/>
              <w:jc w:val="left"/>
              <w:rPr>
                <w:rFonts w:eastAsiaTheme="minorHAnsi"/>
                <w:szCs w:val="18"/>
              </w:rPr>
            </w:pPr>
            <w:r w:rsidRPr="00A304D0">
              <w:t>13.1314</w:t>
            </w:r>
          </w:p>
        </w:tc>
        <w:tc>
          <w:tcPr>
            <w:tcW w:w="2340" w:type="dxa"/>
            <w:tcBorders>
              <w:left w:val="single" w:sz="8" w:space="0" w:color="7BA0CD" w:themeColor="accent1" w:themeTint="BF"/>
              <w:right w:val="single" w:sz="8" w:space="0" w:color="7BA0CD" w:themeColor="accent1" w:themeTint="BF"/>
            </w:tcBorders>
          </w:tcPr>
          <w:p w14:paraId="4187F4B2" w14:textId="5EBA638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Physical Education Teaching and Coaching</w:t>
            </w:r>
          </w:p>
        </w:tc>
        <w:tc>
          <w:tcPr>
            <w:tcW w:w="900" w:type="dxa"/>
            <w:tcBorders>
              <w:left w:val="single" w:sz="8" w:space="0" w:color="7BA0CD" w:themeColor="accent1" w:themeTint="BF"/>
              <w:right w:val="single" w:sz="8" w:space="0" w:color="7BA0CD" w:themeColor="accent1" w:themeTint="BF"/>
            </w:tcBorders>
          </w:tcPr>
          <w:p w14:paraId="17C33119" w14:textId="349D5FD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25-2022</w:t>
            </w:r>
          </w:p>
        </w:tc>
        <w:tc>
          <w:tcPr>
            <w:tcW w:w="2340" w:type="dxa"/>
            <w:tcBorders>
              <w:left w:val="single" w:sz="8" w:space="0" w:color="7BA0CD" w:themeColor="accent1" w:themeTint="BF"/>
              <w:right w:val="single" w:sz="8" w:space="0" w:color="7BA0CD" w:themeColor="accent1" w:themeTint="BF"/>
            </w:tcBorders>
          </w:tcPr>
          <w:p w14:paraId="363F5D28" w14:textId="364004F7"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Middle School Teachers, Except Special and Career/Technical Education</w:t>
            </w:r>
          </w:p>
        </w:tc>
        <w:tc>
          <w:tcPr>
            <w:tcW w:w="1080" w:type="dxa"/>
            <w:tcBorders>
              <w:left w:val="single" w:sz="8" w:space="0" w:color="7BA0CD" w:themeColor="accent1" w:themeTint="BF"/>
              <w:right w:val="single" w:sz="8" w:space="0" w:color="7BA0CD" w:themeColor="accent1" w:themeTint="BF"/>
            </w:tcBorders>
          </w:tcPr>
          <w:p w14:paraId="37E58F8A" w14:textId="3B2DF53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0.14</w:t>
            </w:r>
          </w:p>
        </w:tc>
        <w:tc>
          <w:tcPr>
            <w:tcW w:w="900" w:type="dxa"/>
            <w:tcBorders>
              <w:left w:val="single" w:sz="8" w:space="0" w:color="7BA0CD" w:themeColor="accent1" w:themeTint="BF"/>
              <w:right w:val="single" w:sz="8" w:space="0" w:color="7BA0CD" w:themeColor="accent1" w:themeTint="BF"/>
            </w:tcBorders>
          </w:tcPr>
          <w:p w14:paraId="7CC069F6" w14:textId="619B43E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w:t>
            </w:r>
          </w:p>
        </w:tc>
        <w:tc>
          <w:tcPr>
            <w:tcW w:w="900" w:type="dxa"/>
            <w:tcBorders>
              <w:left w:val="single" w:sz="8" w:space="0" w:color="7BA0CD" w:themeColor="accent1" w:themeTint="BF"/>
            </w:tcBorders>
          </w:tcPr>
          <w:p w14:paraId="7CADF17C" w14:textId="2057BC7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w:t>
            </w:r>
          </w:p>
        </w:tc>
      </w:tr>
      <w:tr w:rsidR="00794210" w:rsidRPr="00A07E93" w14:paraId="4E53262F"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094EC62" w14:textId="69A54E5E"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C3D33FC" w14:textId="24095EB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3000FDB" w14:textId="6C4BF35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25-2031</w:t>
            </w:r>
          </w:p>
        </w:tc>
        <w:tc>
          <w:tcPr>
            <w:tcW w:w="2340" w:type="dxa"/>
            <w:tcBorders>
              <w:left w:val="single" w:sz="8" w:space="0" w:color="7BA0CD" w:themeColor="accent1" w:themeTint="BF"/>
              <w:right w:val="single" w:sz="8" w:space="0" w:color="7BA0CD" w:themeColor="accent1" w:themeTint="BF"/>
            </w:tcBorders>
          </w:tcPr>
          <w:p w14:paraId="746D1F12" w14:textId="4ACBCE7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Secondary School Teachers, Except Special and Career/Technical Education</w:t>
            </w:r>
          </w:p>
        </w:tc>
        <w:tc>
          <w:tcPr>
            <w:tcW w:w="1080" w:type="dxa"/>
            <w:tcBorders>
              <w:left w:val="single" w:sz="8" w:space="0" w:color="7BA0CD" w:themeColor="accent1" w:themeTint="BF"/>
              <w:right w:val="single" w:sz="8" w:space="0" w:color="7BA0CD" w:themeColor="accent1" w:themeTint="BF"/>
            </w:tcBorders>
          </w:tcPr>
          <w:p w14:paraId="194DDF91" w14:textId="570764F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0.12</w:t>
            </w:r>
          </w:p>
        </w:tc>
        <w:tc>
          <w:tcPr>
            <w:tcW w:w="900" w:type="dxa"/>
            <w:tcBorders>
              <w:left w:val="single" w:sz="8" w:space="0" w:color="7BA0CD" w:themeColor="accent1" w:themeTint="BF"/>
              <w:right w:val="single" w:sz="8" w:space="0" w:color="7BA0CD" w:themeColor="accent1" w:themeTint="BF"/>
            </w:tcBorders>
          </w:tcPr>
          <w:p w14:paraId="5B86720D" w14:textId="488A216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3</w:t>
            </w:r>
          </w:p>
        </w:tc>
        <w:tc>
          <w:tcPr>
            <w:tcW w:w="900" w:type="dxa"/>
            <w:tcBorders>
              <w:left w:val="single" w:sz="8" w:space="0" w:color="7BA0CD" w:themeColor="accent1" w:themeTint="BF"/>
            </w:tcBorders>
          </w:tcPr>
          <w:p w14:paraId="4FD2354A" w14:textId="25FB30D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w:t>
            </w:r>
          </w:p>
        </w:tc>
      </w:tr>
      <w:tr w:rsidR="00794210" w:rsidRPr="00A07E93" w14:paraId="6ABFE4E7"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6ECABCB" w14:textId="75F4C73C"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08778F8" w14:textId="01C2833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8387CFE" w14:textId="1C438B4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27-2022</w:t>
            </w:r>
          </w:p>
        </w:tc>
        <w:tc>
          <w:tcPr>
            <w:tcW w:w="2340" w:type="dxa"/>
            <w:tcBorders>
              <w:left w:val="single" w:sz="8" w:space="0" w:color="7BA0CD" w:themeColor="accent1" w:themeTint="BF"/>
              <w:right w:val="single" w:sz="8" w:space="0" w:color="7BA0CD" w:themeColor="accent1" w:themeTint="BF"/>
            </w:tcBorders>
          </w:tcPr>
          <w:p w14:paraId="7A1FC6E8" w14:textId="12EDD497"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Coaches and Scouts</w:t>
            </w:r>
          </w:p>
        </w:tc>
        <w:tc>
          <w:tcPr>
            <w:tcW w:w="1080" w:type="dxa"/>
            <w:tcBorders>
              <w:left w:val="single" w:sz="8" w:space="0" w:color="7BA0CD" w:themeColor="accent1" w:themeTint="BF"/>
              <w:right w:val="single" w:sz="8" w:space="0" w:color="7BA0CD" w:themeColor="accent1" w:themeTint="BF"/>
            </w:tcBorders>
          </w:tcPr>
          <w:p w14:paraId="301E99AF" w14:textId="51FD19B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0.11</w:t>
            </w:r>
          </w:p>
        </w:tc>
        <w:tc>
          <w:tcPr>
            <w:tcW w:w="900" w:type="dxa"/>
            <w:tcBorders>
              <w:left w:val="single" w:sz="8" w:space="0" w:color="7BA0CD" w:themeColor="accent1" w:themeTint="BF"/>
              <w:right w:val="single" w:sz="8" w:space="0" w:color="7BA0CD" w:themeColor="accent1" w:themeTint="BF"/>
            </w:tcBorders>
          </w:tcPr>
          <w:p w14:paraId="20FA9B87" w14:textId="3226FF4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32</w:t>
            </w:r>
          </w:p>
        </w:tc>
        <w:tc>
          <w:tcPr>
            <w:tcW w:w="900" w:type="dxa"/>
            <w:tcBorders>
              <w:left w:val="single" w:sz="8" w:space="0" w:color="7BA0CD" w:themeColor="accent1" w:themeTint="BF"/>
            </w:tcBorders>
          </w:tcPr>
          <w:p w14:paraId="492D526C" w14:textId="3420798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40</w:t>
            </w:r>
          </w:p>
        </w:tc>
      </w:tr>
      <w:tr w:rsidR="00794210" w:rsidRPr="00A07E93" w14:paraId="3FBF2F42"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EBD72CB" w14:textId="4F0844EF"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4E9BFC6" w14:textId="198AA86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66EC33B" w14:textId="23BEAEC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27-2023</w:t>
            </w:r>
          </w:p>
        </w:tc>
        <w:tc>
          <w:tcPr>
            <w:tcW w:w="2340" w:type="dxa"/>
            <w:tcBorders>
              <w:left w:val="single" w:sz="8" w:space="0" w:color="7BA0CD" w:themeColor="accent1" w:themeTint="BF"/>
              <w:right w:val="single" w:sz="8" w:space="0" w:color="7BA0CD" w:themeColor="accent1" w:themeTint="BF"/>
            </w:tcBorders>
          </w:tcPr>
          <w:p w14:paraId="52448008" w14:textId="5D8DB7D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Umpires, Referees, and Other Sports Officials</w:t>
            </w:r>
          </w:p>
        </w:tc>
        <w:tc>
          <w:tcPr>
            <w:tcW w:w="1080" w:type="dxa"/>
            <w:tcBorders>
              <w:left w:val="single" w:sz="8" w:space="0" w:color="7BA0CD" w:themeColor="accent1" w:themeTint="BF"/>
              <w:right w:val="single" w:sz="8" w:space="0" w:color="7BA0CD" w:themeColor="accent1" w:themeTint="BF"/>
            </w:tcBorders>
          </w:tcPr>
          <w:p w14:paraId="28F08554" w14:textId="29B793AF"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0.39</w:t>
            </w:r>
          </w:p>
        </w:tc>
        <w:tc>
          <w:tcPr>
            <w:tcW w:w="900" w:type="dxa"/>
            <w:tcBorders>
              <w:left w:val="single" w:sz="8" w:space="0" w:color="7BA0CD" w:themeColor="accent1" w:themeTint="BF"/>
              <w:right w:val="single" w:sz="8" w:space="0" w:color="7BA0CD" w:themeColor="accent1" w:themeTint="BF"/>
            </w:tcBorders>
          </w:tcPr>
          <w:p w14:paraId="2E37B9DD" w14:textId="35AB412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32</w:t>
            </w:r>
          </w:p>
        </w:tc>
        <w:tc>
          <w:tcPr>
            <w:tcW w:w="900" w:type="dxa"/>
            <w:tcBorders>
              <w:left w:val="single" w:sz="8" w:space="0" w:color="7BA0CD" w:themeColor="accent1" w:themeTint="BF"/>
            </w:tcBorders>
          </w:tcPr>
          <w:p w14:paraId="2AE21EAA" w14:textId="488EAA3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40</w:t>
            </w:r>
          </w:p>
        </w:tc>
      </w:tr>
      <w:tr w:rsidR="00794210" w:rsidRPr="00A07E93" w14:paraId="4904358C"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484C61A" w14:textId="458CD31D"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4B0A618" w14:textId="7F4FBBD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7E0A79B" w14:textId="307DF03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39-9031</w:t>
            </w:r>
          </w:p>
        </w:tc>
        <w:tc>
          <w:tcPr>
            <w:tcW w:w="2340" w:type="dxa"/>
            <w:tcBorders>
              <w:left w:val="single" w:sz="8" w:space="0" w:color="7BA0CD" w:themeColor="accent1" w:themeTint="BF"/>
              <w:right w:val="single" w:sz="8" w:space="0" w:color="7BA0CD" w:themeColor="accent1" w:themeTint="BF"/>
            </w:tcBorders>
          </w:tcPr>
          <w:p w14:paraId="608ACAAF" w14:textId="4C942F7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Fitness Trainers and Aerobics Instructors</w:t>
            </w:r>
          </w:p>
        </w:tc>
        <w:tc>
          <w:tcPr>
            <w:tcW w:w="1080" w:type="dxa"/>
            <w:tcBorders>
              <w:left w:val="single" w:sz="8" w:space="0" w:color="7BA0CD" w:themeColor="accent1" w:themeTint="BF"/>
              <w:right w:val="single" w:sz="8" w:space="0" w:color="7BA0CD" w:themeColor="accent1" w:themeTint="BF"/>
            </w:tcBorders>
          </w:tcPr>
          <w:p w14:paraId="478E928F" w14:textId="01FA411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0.11</w:t>
            </w:r>
          </w:p>
        </w:tc>
        <w:tc>
          <w:tcPr>
            <w:tcW w:w="900" w:type="dxa"/>
            <w:tcBorders>
              <w:left w:val="single" w:sz="8" w:space="0" w:color="7BA0CD" w:themeColor="accent1" w:themeTint="BF"/>
              <w:right w:val="single" w:sz="8" w:space="0" w:color="7BA0CD" w:themeColor="accent1" w:themeTint="BF"/>
            </w:tcBorders>
          </w:tcPr>
          <w:p w14:paraId="439962DF" w14:textId="04DC5DC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45</w:t>
            </w:r>
          </w:p>
        </w:tc>
        <w:tc>
          <w:tcPr>
            <w:tcW w:w="900" w:type="dxa"/>
            <w:tcBorders>
              <w:left w:val="single" w:sz="8" w:space="0" w:color="7BA0CD" w:themeColor="accent1" w:themeTint="BF"/>
            </w:tcBorders>
          </w:tcPr>
          <w:p w14:paraId="6E72E691" w14:textId="5993F7B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55</w:t>
            </w:r>
          </w:p>
        </w:tc>
      </w:tr>
      <w:tr w:rsidR="00794210" w:rsidRPr="00A07E93" w14:paraId="50845E61"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18712DA" w14:textId="0074B00C" w:rsidR="00794210" w:rsidRPr="004F20A7" w:rsidRDefault="00794210" w:rsidP="00CF4D11">
            <w:pPr>
              <w:pStyle w:val="Tablenormalleft"/>
              <w:keepNext w:val="0"/>
              <w:widowControl w:val="0"/>
              <w:jc w:val="left"/>
              <w:rPr>
                <w:rFonts w:eastAsiaTheme="minorHAnsi"/>
                <w:szCs w:val="18"/>
              </w:rPr>
            </w:pPr>
            <w:r w:rsidRPr="00A304D0">
              <w:t>15.0506</w:t>
            </w:r>
          </w:p>
        </w:tc>
        <w:tc>
          <w:tcPr>
            <w:tcW w:w="2340" w:type="dxa"/>
            <w:tcBorders>
              <w:left w:val="single" w:sz="8" w:space="0" w:color="7BA0CD" w:themeColor="accent1" w:themeTint="BF"/>
              <w:right w:val="single" w:sz="8" w:space="0" w:color="7BA0CD" w:themeColor="accent1" w:themeTint="BF"/>
            </w:tcBorders>
          </w:tcPr>
          <w:p w14:paraId="75EB0A9C" w14:textId="6854D0D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Water Quality and Wastewater Treatment Management and Recycling Technology/Technician</w:t>
            </w:r>
          </w:p>
        </w:tc>
        <w:tc>
          <w:tcPr>
            <w:tcW w:w="900" w:type="dxa"/>
            <w:tcBorders>
              <w:left w:val="single" w:sz="8" w:space="0" w:color="7BA0CD" w:themeColor="accent1" w:themeTint="BF"/>
              <w:right w:val="single" w:sz="8" w:space="0" w:color="7BA0CD" w:themeColor="accent1" w:themeTint="BF"/>
            </w:tcBorders>
          </w:tcPr>
          <w:p w14:paraId="55030592" w14:textId="4B3C9FC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51-8031</w:t>
            </w:r>
          </w:p>
        </w:tc>
        <w:tc>
          <w:tcPr>
            <w:tcW w:w="2340" w:type="dxa"/>
            <w:tcBorders>
              <w:left w:val="single" w:sz="8" w:space="0" w:color="7BA0CD" w:themeColor="accent1" w:themeTint="BF"/>
              <w:right w:val="single" w:sz="8" w:space="0" w:color="7BA0CD" w:themeColor="accent1" w:themeTint="BF"/>
            </w:tcBorders>
          </w:tcPr>
          <w:p w14:paraId="6FF99877" w14:textId="420B1490"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Water and Wastewater Treatment Plant and System Operators</w:t>
            </w:r>
          </w:p>
        </w:tc>
        <w:tc>
          <w:tcPr>
            <w:tcW w:w="1080" w:type="dxa"/>
            <w:tcBorders>
              <w:left w:val="single" w:sz="8" w:space="0" w:color="7BA0CD" w:themeColor="accent1" w:themeTint="BF"/>
              <w:right w:val="single" w:sz="8" w:space="0" w:color="7BA0CD" w:themeColor="accent1" w:themeTint="BF"/>
            </w:tcBorders>
          </w:tcPr>
          <w:p w14:paraId="555AF2AF" w14:textId="04B8F25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1D1CFB2B" w14:textId="37CA3E8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79</w:t>
            </w:r>
          </w:p>
        </w:tc>
        <w:tc>
          <w:tcPr>
            <w:tcW w:w="900" w:type="dxa"/>
            <w:tcBorders>
              <w:left w:val="single" w:sz="8" w:space="0" w:color="7BA0CD" w:themeColor="accent1" w:themeTint="BF"/>
            </w:tcBorders>
          </w:tcPr>
          <w:p w14:paraId="7BDC610E" w14:textId="23B1D93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91</w:t>
            </w:r>
          </w:p>
        </w:tc>
      </w:tr>
      <w:tr w:rsidR="00794210" w:rsidRPr="00A07E93" w14:paraId="7D25634A"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12598AB" w14:textId="78554FAE" w:rsidR="00794210" w:rsidRPr="004F20A7" w:rsidRDefault="00794210" w:rsidP="00CF4D11">
            <w:pPr>
              <w:pStyle w:val="Tablenormalleft"/>
              <w:keepNext w:val="0"/>
              <w:widowControl w:val="0"/>
              <w:jc w:val="left"/>
              <w:rPr>
                <w:rFonts w:eastAsiaTheme="minorHAnsi"/>
                <w:szCs w:val="18"/>
              </w:rPr>
            </w:pPr>
            <w:r w:rsidRPr="00A304D0">
              <w:t>15.0613</w:t>
            </w:r>
          </w:p>
        </w:tc>
        <w:tc>
          <w:tcPr>
            <w:tcW w:w="2340" w:type="dxa"/>
            <w:tcBorders>
              <w:left w:val="single" w:sz="8" w:space="0" w:color="7BA0CD" w:themeColor="accent1" w:themeTint="BF"/>
              <w:right w:val="single" w:sz="8" w:space="0" w:color="7BA0CD" w:themeColor="accent1" w:themeTint="BF"/>
            </w:tcBorders>
          </w:tcPr>
          <w:p w14:paraId="1A5E7B0A" w14:textId="2E152F2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Manufacturing Engineering Technology/Technician</w:t>
            </w:r>
          </w:p>
        </w:tc>
        <w:tc>
          <w:tcPr>
            <w:tcW w:w="900" w:type="dxa"/>
            <w:tcBorders>
              <w:left w:val="single" w:sz="8" w:space="0" w:color="7BA0CD" w:themeColor="accent1" w:themeTint="BF"/>
              <w:right w:val="single" w:sz="8" w:space="0" w:color="7BA0CD" w:themeColor="accent1" w:themeTint="BF"/>
            </w:tcBorders>
          </w:tcPr>
          <w:p w14:paraId="35A2FAD6" w14:textId="29A569C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17-2112</w:t>
            </w:r>
          </w:p>
        </w:tc>
        <w:tc>
          <w:tcPr>
            <w:tcW w:w="2340" w:type="dxa"/>
            <w:tcBorders>
              <w:left w:val="single" w:sz="8" w:space="0" w:color="7BA0CD" w:themeColor="accent1" w:themeTint="BF"/>
              <w:right w:val="single" w:sz="8" w:space="0" w:color="7BA0CD" w:themeColor="accent1" w:themeTint="BF"/>
            </w:tcBorders>
          </w:tcPr>
          <w:p w14:paraId="487DBEAB" w14:textId="5328F98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Industrial Engineers</w:t>
            </w:r>
          </w:p>
        </w:tc>
        <w:tc>
          <w:tcPr>
            <w:tcW w:w="1080" w:type="dxa"/>
            <w:tcBorders>
              <w:left w:val="single" w:sz="8" w:space="0" w:color="7BA0CD" w:themeColor="accent1" w:themeTint="BF"/>
              <w:right w:val="single" w:sz="8" w:space="0" w:color="7BA0CD" w:themeColor="accent1" w:themeTint="BF"/>
            </w:tcBorders>
          </w:tcPr>
          <w:p w14:paraId="1B087CF7" w14:textId="2927111D"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2FAED737" w14:textId="5233CC3D"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19</w:t>
            </w:r>
          </w:p>
        </w:tc>
        <w:tc>
          <w:tcPr>
            <w:tcW w:w="900" w:type="dxa"/>
            <w:tcBorders>
              <w:left w:val="single" w:sz="8" w:space="0" w:color="7BA0CD" w:themeColor="accent1" w:themeTint="BF"/>
            </w:tcBorders>
          </w:tcPr>
          <w:p w14:paraId="61831765" w14:textId="3307F80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28</w:t>
            </w:r>
          </w:p>
        </w:tc>
      </w:tr>
      <w:tr w:rsidR="00794210" w:rsidRPr="00A07E93" w14:paraId="7A038F92"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E5F19C7" w14:textId="32BCD959"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16C9F90" w14:textId="0060389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F3240F5" w14:textId="023CEFD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17-3026</w:t>
            </w:r>
          </w:p>
        </w:tc>
        <w:tc>
          <w:tcPr>
            <w:tcW w:w="2340" w:type="dxa"/>
            <w:tcBorders>
              <w:left w:val="single" w:sz="8" w:space="0" w:color="7BA0CD" w:themeColor="accent1" w:themeTint="BF"/>
              <w:right w:val="single" w:sz="8" w:space="0" w:color="7BA0CD" w:themeColor="accent1" w:themeTint="BF"/>
            </w:tcBorders>
          </w:tcPr>
          <w:p w14:paraId="45F2FB8D" w14:textId="48028C9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Industrial Engineering Technicians</w:t>
            </w:r>
          </w:p>
        </w:tc>
        <w:tc>
          <w:tcPr>
            <w:tcW w:w="1080" w:type="dxa"/>
            <w:tcBorders>
              <w:left w:val="single" w:sz="8" w:space="0" w:color="7BA0CD" w:themeColor="accent1" w:themeTint="BF"/>
              <w:right w:val="single" w:sz="8" w:space="0" w:color="7BA0CD" w:themeColor="accent1" w:themeTint="BF"/>
            </w:tcBorders>
          </w:tcPr>
          <w:p w14:paraId="15A93681" w14:textId="15C5B2E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0.52</w:t>
            </w:r>
          </w:p>
        </w:tc>
        <w:tc>
          <w:tcPr>
            <w:tcW w:w="900" w:type="dxa"/>
            <w:tcBorders>
              <w:left w:val="single" w:sz="8" w:space="0" w:color="7BA0CD" w:themeColor="accent1" w:themeTint="BF"/>
              <w:right w:val="single" w:sz="8" w:space="0" w:color="7BA0CD" w:themeColor="accent1" w:themeTint="BF"/>
            </w:tcBorders>
          </w:tcPr>
          <w:p w14:paraId="179CA405" w14:textId="6F0BC78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60</w:t>
            </w:r>
          </w:p>
        </w:tc>
        <w:tc>
          <w:tcPr>
            <w:tcW w:w="900" w:type="dxa"/>
            <w:tcBorders>
              <w:left w:val="single" w:sz="8" w:space="0" w:color="7BA0CD" w:themeColor="accent1" w:themeTint="BF"/>
            </w:tcBorders>
          </w:tcPr>
          <w:p w14:paraId="6F4D0D49" w14:textId="1FB8A55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83</w:t>
            </w:r>
          </w:p>
        </w:tc>
      </w:tr>
      <w:tr w:rsidR="00794210" w:rsidRPr="00A07E93" w14:paraId="36B35564"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5A7BD03" w14:textId="53D7B8B4"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F0B085D" w14:textId="442F9A7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54C9D65" w14:textId="2FDF945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27-1021</w:t>
            </w:r>
          </w:p>
        </w:tc>
        <w:tc>
          <w:tcPr>
            <w:tcW w:w="2340" w:type="dxa"/>
            <w:tcBorders>
              <w:left w:val="single" w:sz="8" w:space="0" w:color="7BA0CD" w:themeColor="accent1" w:themeTint="BF"/>
              <w:right w:val="single" w:sz="8" w:space="0" w:color="7BA0CD" w:themeColor="accent1" w:themeTint="BF"/>
            </w:tcBorders>
          </w:tcPr>
          <w:p w14:paraId="073EFBB8" w14:textId="412C3A01" w:rsidR="00794210" w:rsidRPr="004F20A7" w:rsidRDefault="006C38C7"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Comme</w:t>
            </w:r>
            <w:r>
              <w:t>rci</w:t>
            </w:r>
            <w:r w:rsidRPr="005A427B">
              <w:t>al</w:t>
            </w:r>
            <w:r w:rsidR="00794210" w:rsidRPr="005A427B">
              <w:t xml:space="preserve"> and Industrial Designers</w:t>
            </w:r>
          </w:p>
        </w:tc>
        <w:tc>
          <w:tcPr>
            <w:tcW w:w="1080" w:type="dxa"/>
            <w:tcBorders>
              <w:left w:val="single" w:sz="8" w:space="0" w:color="7BA0CD" w:themeColor="accent1" w:themeTint="BF"/>
              <w:right w:val="single" w:sz="8" w:space="0" w:color="7BA0CD" w:themeColor="accent1" w:themeTint="BF"/>
            </w:tcBorders>
          </w:tcPr>
          <w:p w14:paraId="164B7506" w14:textId="755EA55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0.74</w:t>
            </w:r>
          </w:p>
        </w:tc>
        <w:tc>
          <w:tcPr>
            <w:tcW w:w="900" w:type="dxa"/>
            <w:tcBorders>
              <w:left w:val="single" w:sz="8" w:space="0" w:color="7BA0CD" w:themeColor="accent1" w:themeTint="BF"/>
              <w:right w:val="single" w:sz="8" w:space="0" w:color="7BA0CD" w:themeColor="accent1" w:themeTint="BF"/>
            </w:tcBorders>
          </w:tcPr>
          <w:p w14:paraId="67D51CFA" w14:textId="741D3D1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31</w:t>
            </w:r>
          </w:p>
        </w:tc>
        <w:tc>
          <w:tcPr>
            <w:tcW w:w="900" w:type="dxa"/>
            <w:tcBorders>
              <w:left w:val="single" w:sz="8" w:space="0" w:color="7BA0CD" w:themeColor="accent1" w:themeTint="BF"/>
            </w:tcBorders>
          </w:tcPr>
          <w:p w14:paraId="75C58CB1" w14:textId="31BE5C1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44</w:t>
            </w:r>
          </w:p>
        </w:tc>
      </w:tr>
      <w:tr w:rsidR="00794210" w:rsidRPr="00A07E93" w14:paraId="665078EE"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8DFB72B" w14:textId="1CA7A302" w:rsidR="00794210" w:rsidRPr="004F20A7" w:rsidRDefault="00794210" w:rsidP="00CF4D11">
            <w:pPr>
              <w:pStyle w:val="Tablenormalleft"/>
              <w:keepNext w:val="0"/>
              <w:widowControl w:val="0"/>
              <w:jc w:val="left"/>
              <w:rPr>
                <w:rFonts w:eastAsiaTheme="minorHAnsi"/>
                <w:szCs w:val="18"/>
              </w:rPr>
            </w:pPr>
            <w:r w:rsidRPr="00A304D0">
              <w:t>16.9999</w:t>
            </w:r>
          </w:p>
        </w:tc>
        <w:tc>
          <w:tcPr>
            <w:tcW w:w="2340" w:type="dxa"/>
            <w:tcBorders>
              <w:left w:val="single" w:sz="8" w:space="0" w:color="7BA0CD" w:themeColor="accent1" w:themeTint="BF"/>
              <w:right w:val="single" w:sz="8" w:space="0" w:color="7BA0CD" w:themeColor="accent1" w:themeTint="BF"/>
            </w:tcBorders>
          </w:tcPr>
          <w:p w14:paraId="5982BE4B" w14:textId="3E9B025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Foreign Languages, Literatures, and Linguistics, Other</w:t>
            </w:r>
          </w:p>
        </w:tc>
        <w:tc>
          <w:tcPr>
            <w:tcW w:w="900" w:type="dxa"/>
            <w:tcBorders>
              <w:left w:val="single" w:sz="8" w:space="0" w:color="7BA0CD" w:themeColor="accent1" w:themeTint="BF"/>
              <w:right w:val="single" w:sz="8" w:space="0" w:color="7BA0CD" w:themeColor="accent1" w:themeTint="BF"/>
            </w:tcBorders>
          </w:tcPr>
          <w:p w14:paraId="07CB1CA4" w14:textId="1F04F32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27-3091</w:t>
            </w:r>
          </w:p>
        </w:tc>
        <w:tc>
          <w:tcPr>
            <w:tcW w:w="2340" w:type="dxa"/>
            <w:tcBorders>
              <w:left w:val="single" w:sz="8" w:space="0" w:color="7BA0CD" w:themeColor="accent1" w:themeTint="BF"/>
              <w:right w:val="single" w:sz="8" w:space="0" w:color="7BA0CD" w:themeColor="accent1" w:themeTint="BF"/>
            </w:tcBorders>
          </w:tcPr>
          <w:p w14:paraId="16166771" w14:textId="61ECF94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Interpreters and Translators</w:t>
            </w:r>
          </w:p>
        </w:tc>
        <w:tc>
          <w:tcPr>
            <w:tcW w:w="1080" w:type="dxa"/>
            <w:tcBorders>
              <w:left w:val="single" w:sz="8" w:space="0" w:color="7BA0CD" w:themeColor="accent1" w:themeTint="BF"/>
              <w:right w:val="single" w:sz="8" w:space="0" w:color="7BA0CD" w:themeColor="accent1" w:themeTint="BF"/>
            </w:tcBorders>
          </w:tcPr>
          <w:p w14:paraId="748B25CD" w14:textId="72ABB33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0.00</w:t>
            </w:r>
          </w:p>
        </w:tc>
        <w:tc>
          <w:tcPr>
            <w:tcW w:w="900" w:type="dxa"/>
            <w:tcBorders>
              <w:left w:val="single" w:sz="8" w:space="0" w:color="7BA0CD" w:themeColor="accent1" w:themeTint="BF"/>
              <w:right w:val="single" w:sz="8" w:space="0" w:color="7BA0CD" w:themeColor="accent1" w:themeTint="BF"/>
            </w:tcBorders>
          </w:tcPr>
          <w:p w14:paraId="19361BD1" w14:textId="6CA36B1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37</w:t>
            </w:r>
          </w:p>
        </w:tc>
        <w:tc>
          <w:tcPr>
            <w:tcW w:w="900" w:type="dxa"/>
            <w:tcBorders>
              <w:left w:val="single" w:sz="8" w:space="0" w:color="7BA0CD" w:themeColor="accent1" w:themeTint="BF"/>
            </w:tcBorders>
          </w:tcPr>
          <w:p w14:paraId="4BD5DB72" w14:textId="5115374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50</w:t>
            </w:r>
          </w:p>
        </w:tc>
      </w:tr>
      <w:tr w:rsidR="00794210" w:rsidRPr="00A07E93" w14:paraId="39A9FEE6"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83C3E78" w14:textId="74C750DE" w:rsidR="00794210" w:rsidRPr="004F20A7" w:rsidRDefault="00794210" w:rsidP="00CF4D11">
            <w:pPr>
              <w:pStyle w:val="Tablenormalleft"/>
              <w:keepNext w:val="0"/>
              <w:widowControl w:val="0"/>
              <w:jc w:val="left"/>
              <w:rPr>
                <w:rFonts w:eastAsiaTheme="minorHAnsi"/>
                <w:szCs w:val="18"/>
              </w:rPr>
            </w:pPr>
            <w:r w:rsidRPr="00A304D0">
              <w:t>19.0706</w:t>
            </w:r>
          </w:p>
        </w:tc>
        <w:tc>
          <w:tcPr>
            <w:tcW w:w="2340" w:type="dxa"/>
            <w:tcBorders>
              <w:left w:val="single" w:sz="8" w:space="0" w:color="7BA0CD" w:themeColor="accent1" w:themeTint="BF"/>
              <w:right w:val="single" w:sz="8" w:space="0" w:color="7BA0CD" w:themeColor="accent1" w:themeTint="BF"/>
            </w:tcBorders>
          </w:tcPr>
          <w:p w14:paraId="7A354CAB" w14:textId="5D351CE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Child Development</w:t>
            </w:r>
          </w:p>
        </w:tc>
        <w:tc>
          <w:tcPr>
            <w:tcW w:w="900" w:type="dxa"/>
            <w:tcBorders>
              <w:left w:val="single" w:sz="8" w:space="0" w:color="7BA0CD" w:themeColor="accent1" w:themeTint="BF"/>
              <w:right w:val="single" w:sz="8" w:space="0" w:color="7BA0CD" w:themeColor="accent1" w:themeTint="BF"/>
            </w:tcBorders>
          </w:tcPr>
          <w:p w14:paraId="69CB3C79" w14:textId="69207B3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21-1093</w:t>
            </w:r>
          </w:p>
        </w:tc>
        <w:tc>
          <w:tcPr>
            <w:tcW w:w="2340" w:type="dxa"/>
            <w:tcBorders>
              <w:left w:val="single" w:sz="8" w:space="0" w:color="7BA0CD" w:themeColor="accent1" w:themeTint="BF"/>
              <w:right w:val="single" w:sz="8" w:space="0" w:color="7BA0CD" w:themeColor="accent1" w:themeTint="BF"/>
            </w:tcBorders>
          </w:tcPr>
          <w:p w14:paraId="34DBCDA4" w14:textId="7770EDD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Social and Human Service Assistants</w:t>
            </w:r>
          </w:p>
        </w:tc>
        <w:tc>
          <w:tcPr>
            <w:tcW w:w="1080" w:type="dxa"/>
            <w:tcBorders>
              <w:left w:val="single" w:sz="8" w:space="0" w:color="7BA0CD" w:themeColor="accent1" w:themeTint="BF"/>
              <w:right w:val="single" w:sz="8" w:space="0" w:color="7BA0CD" w:themeColor="accent1" w:themeTint="BF"/>
            </w:tcBorders>
          </w:tcPr>
          <w:p w14:paraId="6F6CE4B1" w14:textId="4968511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0.47</w:t>
            </w:r>
          </w:p>
        </w:tc>
        <w:tc>
          <w:tcPr>
            <w:tcW w:w="900" w:type="dxa"/>
            <w:tcBorders>
              <w:left w:val="single" w:sz="8" w:space="0" w:color="7BA0CD" w:themeColor="accent1" w:themeTint="BF"/>
              <w:right w:val="single" w:sz="8" w:space="0" w:color="7BA0CD" w:themeColor="accent1" w:themeTint="BF"/>
            </w:tcBorders>
          </w:tcPr>
          <w:p w14:paraId="3F8E4B85" w14:textId="5FF9A8C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50</w:t>
            </w:r>
          </w:p>
        </w:tc>
        <w:tc>
          <w:tcPr>
            <w:tcW w:w="900" w:type="dxa"/>
            <w:tcBorders>
              <w:left w:val="single" w:sz="8" w:space="0" w:color="7BA0CD" w:themeColor="accent1" w:themeTint="BF"/>
            </w:tcBorders>
          </w:tcPr>
          <w:p w14:paraId="50F3F279" w14:textId="405E466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60</w:t>
            </w:r>
          </w:p>
        </w:tc>
      </w:tr>
      <w:tr w:rsidR="00794210" w:rsidRPr="00A07E93" w14:paraId="738B89E2"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9A48975" w14:textId="2957F1F4"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83A276B" w14:textId="00BCFE6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A070C82" w14:textId="6C352D0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25-2011</w:t>
            </w:r>
          </w:p>
        </w:tc>
        <w:tc>
          <w:tcPr>
            <w:tcW w:w="2340" w:type="dxa"/>
            <w:tcBorders>
              <w:left w:val="single" w:sz="8" w:space="0" w:color="7BA0CD" w:themeColor="accent1" w:themeTint="BF"/>
              <w:right w:val="single" w:sz="8" w:space="0" w:color="7BA0CD" w:themeColor="accent1" w:themeTint="BF"/>
            </w:tcBorders>
          </w:tcPr>
          <w:p w14:paraId="7B77D2DB" w14:textId="56FB51F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Preschool Teachers, Except Special Education</w:t>
            </w:r>
          </w:p>
        </w:tc>
        <w:tc>
          <w:tcPr>
            <w:tcW w:w="1080" w:type="dxa"/>
            <w:tcBorders>
              <w:left w:val="single" w:sz="8" w:space="0" w:color="7BA0CD" w:themeColor="accent1" w:themeTint="BF"/>
              <w:right w:val="single" w:sz="8" w:space="0" w:color="7BA0CD" w:themeColor="accent1" w:themeTint="BF"/>
            </w:tcBorders>
          </w:tcPr>
          <w:p w14:paraId="3EE11086" w14:textId="147317F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0.36</w:t>
            </w:r>
          </w:p>
        </w:tc>
        <w:tc>
          <w:tcPr>
            <w:tcW w:w="900" w:type="dxa"/>
            <w:tcBorders>
              <w:left w:val="single" w:sz="8" w:space="0" w:color="7BA0CD" w:themeColor="accent1" w:themeTint="BF"/>
              <w:right w:val="single" w:sz="8" w:space="0" w:color="7BA0CD" w:themeColor="accent1" w:themeTint="BF"/>
            </w:tcBorders>
          </w:tcPr>
          <w:p w14:paraId="5B43ACFC" w14:textId="6898633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39</w:t>
            </w:r>
          </w:p>
        </w:tc>
        <w:tc>
          <w:tcPr>
            <w:tcW w:w="900" w:type="dxa"/>
            <w:tcBorders>
              <w:left w:val="single" w:sz="8" w:space="0" w:color="7BA0CD" w:themeColor="accent1" w:themeTint="BF"/>
            </w:tcBorders>
          </w:tcPr>
          <w:p w14:paraId="4E502440" w14:textId="726BFFF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53</w:t>
            </w:r>
          </w:p>
        </w:tc>
      </w:tr>
      <w:tr w:rsidR="00794210" w:rsidRPr="00A07E93" w14:paraId="764D52F2"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B358CC0" w14:textId="45AF420E"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0657FEF" w14:textId="7EC55E7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0E9DA07" w14:textId="5519CDD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39-9011</w:t>
            </w:r>
          </w:p>
        </w:tc>
        <w:tc>
          <w:tcPr>
            <w:tcW w:w="2340" w:type="dxa"/>
            <w:tcBorders>
              <w:left w:val="single" w:sz="8" w:space="0" w:color="7BA0CD" w:themeColor="accent1" w:themeTint="BF"/>
              <w:right w:val="single" w:sz="8" w:space="0" w:color="7BA0CD" w:themeColor="accent1" w:themeTint="BF"/>
            </w:tcBorders>
          </w:tcPr>
          <w:p w14:paraId="165E0F18" w14:textId="0561E7F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Childcare Workers</w:t>
            </w:r>
          </w:p>
        </w:tc>
        <w:tc>
          <w:tcPr>
            <w:tcW w:w="1080" w:type="dxa"/>
            <w:tcBorders>
              <w:left w:val="single" w:sz="8" w:space="0" w:color="7BA0CD" w:themeColor="accent1" w:themeTint="BF"/>
              <w:right w:val="single" w:sz="8" w:space="0" w:color="7BA0CD" w:themeColor="accent1" w:themeTint="BF"/>
            </w:tcBorders>
          </w:tcPr>
          <w:p w14:paraId="3175C950" w14:textId="5057615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0.25</w:t>
            </w:r>
          </w:p>
        </w:tc>
        <w:tc>
          <w:tcPr>
            <w:tcW w:w="900" w:type="dxa"/>
            <w:tcBorders>
              <w:left w:val="single" w:sz="8" w:space="0" w:color="7BA0CD" w:themeColor="accent1" w:themeTint="BF"/>
              <w:right w:val="single" w:sz="8" w:space="0" w:color="7BA0CD" w:themeColor="accent1" w:themeTint="BF"/>
            </w:tcBorders>
          </w:tcPr>
          <w:p w14:paraId="0EB8C161" w14:textId="1B8FDB4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75</w:t>
            </w:r>
          </w:p>
        </w:tc>
        <w:tc>
          <w:tcPr>
            <w:tcW w:w="900" w:type="dxa"/>
            <w:tcBorders>
              <w:left w:val="single" w:sz="8" w:space="0" w:color="7BA0CD" w:themeColor="accent1" w:themeTint="BF"/>
            </w:tcBorders>
          </w:tcPr>
          <w:p w14:paraId="60DF6C5F" w14:textId="513631E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84</w:t>
            </w:r>
          </w:p>
        </w:tc>
      </w:tr>
      <w:tr w:rsidR="00794210" w:rsidRPr="00A07E93" w14:paraId="5C58AD68"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F741756" w14:textId="4504506F" w:rsidR="00794210" w:rsidRPr="004F20A7" w:rsidRDefault="00794210" w:rsidP="00CF4D11">
            <w:pPr>
              <w:pStyle w:val="Tablenormalleft"/>
              <w:keepNext w:val="0"/>
              <w:widowControl w:val="0"/>
              <w:jc w:val="left"/>
              <w:rPr>
                <w:rFonts w:eastAsiaTheme="minorHAnsi"/>
                <w:szCs w:val="18"/>
              </w:rPr>
            </w:pPr>
            <w:r w:rsidRPr="00A304D0">
              <w:t>19.0709</w:t>
            </w:r>
          </w:p>
        </w:tc>
        <w:tc>
          <w:tcPr>
            <w:tcW w:w="2340" w:type="dxa"/>
            <w:tcBorders>
              <w:left w:val="single" w:sz="8" w:space="0" w:color="7BA0CD" w:themeColor="accent1" w:themeTint="BF"/>
              <w:right w:val="single" w:sz="8" w:space="0" w:color="7BA0CD" w:themeColor="accent1" w:themeTint="BF"/>
            </w:tcBorders>
          </w:tcPr>
          <w:p w14:paraId="73AFF6A9" w14:textId="6390055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Child Care Provider/Assistant</w:t>
            </w:r>
          </w:p>
        </w:tc>
        <w:tc>
          <w:tcPr>
            <w:tcW w:w="900" w:type="dxa"/>
            <w:tcBorders>
              <w:left w:val="single" w:sz="8" w:space="0" w:color="7BA0CD" w:themeColor="accent1" w:themeTint="BF"/>
              <w:right w:val="single" w:sz="8" w:space="0" w:color="7BA0CD" w:themeColor="accent1" w:themeTint="BF"/>
            </w:tcBorders>
          </w:tcPr>
          <w:p w14:paraId="4096A8FB" w14:textId="51D30AFD"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39-9011</w:t>
            </w:r>
          </w:p>
        </w:tc>
        <w:tc>
          <w:tcPr>
            <w:tcW w:w="2340" w:type="dxa"/>
            <w:tcBorders>
              <w:left w:val="single" w:sz="8" w:space="0" w:color="7BA0CD" w:themeColor="accent1" w:themeTint="BF"/>
              <w:right w:val="single" w:sz="8" w:space="0" w:color="7BA0CD" w:themeColor="accent1" w:themeTint="BF"/>
            </w:tcBorders>
          </w:tcPr>
          <w:p w14:paraId="6EDD7B20" w14:textId="0ACEEF5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Childcare Workers</w:t>
            </w:r>
          </w:p>
        </w:tc>
        <w:tc>
          <w:tcPr>
            <w:tcW w:w="1080" w:type="dxa"/>
            <w:tcBorders>
              <w:left w:val="single" w:sz="8" w:space="0" w:color="7BA0CD" w:themeColor="accent1" w:themeTint="BF"/>
              <w:right w:val="single" w:sz="8" w:space="0" w:color="7BA0CD" w:themeColor="accent1" w:themeTint="BF"/>
            </w:tcBorders>
          </w:tcPr>
          <w:p w14:paraId="41C96194" w14:textId="547EFFB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0.75</w:t>
            </w:r>
          </w:p>
        </w:tc>
        <w:tc>
          <w:tcPr>
            <w:tcW w:w="900" w:type="dxa"/>
            <w:tcBorders>
              <w:left w:val="single" w:sz="8" w:space="0" w:color="7BA0CD" w:themeColor="accent1" w:themeTint="BF"/>
              <w:right w:val="single" w:sz="8" w:space="0" w:color="7BA0CD" w:themeColor="accent1" w:themeTint="BF"/>
            </w:tcBorders>
          </w:tcPr>
          <w:p w14:paraId="65B13445" w14:textId="24D6DB9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75</w:t>
            </w:r>
          </w:p>
        </w:tc>
        <w:tc>
          <w:tcPr>
            <w:tcW w:w="900" w:type="dxa"/>
            <w:tcBorders>
              <w:left w:val="single" w:sz="8" w:space="0" w:color="7BA0CD" w:themeColor="accent1" w:themeTint="BF"/>
            </w:tcBorders>
          </w:tcPr>
          <w:p w14:paraId="5A2F1C2C" w14:textId="418CD13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84</w:t>
            </w:r>
          </w:p>
        </w:tc>
      </w:tr>
      <w:tr w:rsidR="00794210" w:rsidRPr="00A07E93" w14:paraId="7DC5C412"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1015E6C" w14:textId="0D76B4F5" w:rsidR="00794210" w:rsidRPr="004F20A7" w:rsidRDefault="00794210" w:rsidP="00CF4D11">
            <w:pPr>
              <w:pStyle w:val="Tablenormalleft"/>
              <w:keepNext w:val="0"/>
              <w:widowControl w:val="0"/>
              <w:jc w:val="left"/>
              <w:rPr>
                <w:rFonts w:eastAsiaTheme="minorHAnsi"/>
                <w:szCs w:val="18"/>
              </w:rPr>
            </w:pPr>
            <w:r w:rsidRPr="00A304D0">
              <w:t>23.9999</w:t>
            </w:r>
          </w:p>
        </w:tc>
        <w:tc>
          <w:tcPr>
            <w:tcW w:w="2340" w:type="dxa"/>
            <w:tcBorders>
              <w:left w:val="single" w:sz="8" w:space="0" w:color="7BA0CD" w:themeColor="accent1" w:themeTint="BF"/>
              <w:right w:val="single" w:sz="8" w:space="0" w:color="7BA0CD" w:themeColor="accent1" w:themeTint="BF"/>
            </w:tcBorders>
          </w:tcPr>
          <w:p w14:paraId="3C9047CD" w14:textId="557578D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English Language and Literature/Letters, Other</w:t>
            </w:r>
          </w:p>
        </w:tc>
        <w:tc>
          <w:tcPr>
            <w:tcW w:w="900" w:type="dxa"/>
            <w:tcBorders>
              <w:left w:val="single" w:sz="8" w:space="0" w:color="7BA0CD" w:themeColor="accent1" w:themeTint="BF"/>
              <w:right w:val="single" w:sz="8" w:space="0" w:color="7BA0CD" w:themeColor="accent1" w:themeTint="BF"/>
            </w:tcBorders>
          </w:tcPr>
          <w:p w14:paraId="061F52E7" w14:textId="11FFF7A9"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25-1099</w:t>
            </w:r>
          </w:p>
        </w:tc>
        <w:tc>
          <w:tcPr>
            <w:tcW w:w="2340" w:type="dxa"/>
            <w:tcBorders>
              <w:left w:val="single" w:sz="8" w:space="0" w:color="7BA0CD" w:themeColor="accent1" w:themeTint="BF"/>
              <w:right w:val="single" w:sz="8" w:space="0" w:color="7BA0CD" w:themeColor="accent1" w:themeTint="BF"/>
            </w:tcBorders>
          </w:tcPr>
          <w:p w14:paraId="7ABC09B5" w14:textId="7FFFE7A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Postsecondary Teachers</w:t>
            </w:r>
          </w:p>
        </w:tc>
        <w:tc>
          <w:tcPr>
            <w:tcW w:w="1080" w:type="dxa"/>
            <w:tcBorders>
              <w:left w:val="single" w:sz="8" w:space="0" w:color="7BA0CD" w:themeColor="accent1" w:themeTint="BF"/>
              <w:right w:val="single" w:sz="8" w:space="0" w:color="7BA0CD" w:themeColor="accent1" w:themeTint="BF"/>
            </w:tcBorders>
          </w:tcPr>
          <w:p w14:paraId="1ACD61E3" w14:textId="5B3E672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0.00</w:t>
            </w:r>
          </w:p>
        </w:tc>
        <w:tc>
          <w:tcPr>
            <w:tcW w:w="900" w:type="dxa"/>
            <w:tcBorders>
              <w:left w:val="single" w:sz="8" w:space="0" w:color="7BA0CD" w:themeColor="accent1" w:themeTint="BF"/>
              <w:right w:val="single" w:sz="8" w:space="0" w:color="7BA0CD" w:themeColor="accent1" w:themeTint="BF"/>
            </w:tcBorders>
          </w:tcPr>
          <w:p w14:paraId="543101FA" w14:textId="27FF647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3</w:t>
            </w:r>
          </w:p>
        </w:tc>
        <w:tc>
          <w:tcPr>
            <w:tcW w:w="900" w:type="dxa"/>
            <w:tcBorders>
              <w:left w:val="single" w:sz="8" w:space="0" w:color="7BA0CD" w:themeColor="accent1" w:themeTint="BF"/>
            </w:tcBorders>
          </w:tcPr>
          <w:p w14:paraId="7725BCB8" w14:textId="7C13C95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w:t>
            </w:r>
          </w:p>
        </w:tc>
      </w:tr>
      <w:tr w:rsidR="00794210" w:rsidRPr="00A07E93" w14:paraId="7E5E50B3"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6FFCFAA" w14:textId="3101CA3C" w:rsidR="00794210" w:rsidRPr="004F20A7" w:rsidRDefault="00794210" w:rsidP="00CF4D11">
            <w:pPr>
              <w:pStyle w:val="Tablenormalleft"/>
              <w:keepNext w:val="0"/>
              <w:widowControl w:val="0"/>
              <w:jc w:val="left"/>
              <w:rPr>
                <w:rFonts w:eastAsiaTheme="minorHAnsi"/>
                <w:szCs w:val="18"/>
              </w:rPr>
            </w:pPr>
            <w:r w:rsidRPr="00A304D0">
              <w:t>26.0101</w:t>
            </w:r>
          </w:p>
        </w:tc>
        <w:tc>
          <w:tcPr>
            <w:tcW w:w="2340" w:type="dxa"/>
            <w:tcBorders>
              <w:left w:val="single" w:sz="8" w:space="0" w:color="7BA0CD" w:themeColor="accent1" w:themeTint="BF"/>
              <w:right w:val="single" w:sz="8" w:space="0" w:color="7BA0CD" w:themeColor="accent1" w:themeTint="BF"/>
            </w:tcBorders>
          </w:tcPr>
          <w:p w14:paraId="3ECE809A" w14:textId="30D3078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Biology/Biological Sciences, General</w:t>
            </w:r>
          </w:p>
        </w:tc>
        <w:tc>
          <w:tcPr>
            <w:tcW w:w="900" w:type="dxa"/>
            <w:tcBorders>
              <w:left w:val="single" w:sz="8" w:space="0" w:color="7BA0CD" w:themeColor="accent1" w:themeTint="BF"/>
              <w:right w:val="single" w:sz="8" w:space="0" w:color="7BA0CD" w:themeColor="accent1" w:themeTint="BF"/>
            </w:tcBorders>
          </w:tcPr>
          <w:p w14:paraId="1328779A" w14:textId="7964E35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11-9121</w:t>
            </w:r>
          </w:p>
        </w:tc>
        <w:tc>
          <w:tcPr>
            <w:tcW w:w="2340" w:type="dxa"/>
            <w:tcBorders>
              <w:left w:val="single" w:sz="8" w:space="0" w:color="7BA0CD" w:themeColor="accent1" w:themeTint="BF"/>
              <w:right w:val="single" w:sz="8" w:space="0" w:color="7BA0CD" w:themeColor="accent1" w:themeTint="BF"/>
            </w:tcBorders>
          </w:tcPr>
          <w:p w14:paraId="128118C1" w14:textId="244A0D1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Natural Sciences Managers</w:t>
            </w:r>
          </w:p>
        </w:tc>
        <w:tc>
          <w:tcPr>
            <w:tcW w:w="1080" w:type="dxa"/>
            <w:tcBorders>
              <w:left w:val="single" w:sz="8" w:space="0" w:color="7BA0CD" w:themeColor="accent1" w:themeTint="BF"/>
              <w:right w:val="single" w:sz="8" w:space="0" w:color="7BA0CD" w:themeColor="accent1" w:themeTint="BF"/>
            </w:tcBorders>
          </w:tcPr>
          <w:p w14:paraId="7D9F545D" w14:textId="5B8EE78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0.45</w:t>
            </w:r>
          </w:p>
        </w:tc>
        <w:tc>
          <w:tcPr>
            <w:tcW w:w="900" w:type="dxa"/>
            <w:tcBorders>
              <w:left w:val="single" w:sz="8" w:space="0" w:color="7BA0CD" w:themeColor="accent1" w:themeTint="BF"/>
              <w:right w:val="single" w:sz="8" w:space="0" w:color="7BA0CD" w:themeColor="accent1" w:themeTint="BF"/>
            </w:tcBorders>
          </w:tcPr>
          <w:p w14:paraId="64747316" w14:textId="1066F75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7</w:t>
            </w:r>
          </w:p>
        </w:tc>
        <w:tc>
          <w:tcPr>
            <w:tcW w:w="900" w:type="dxa"/>
            <w:tcBorders>
              <w:left w:val="single" w:sz="8" w:space="0" w:color="7BA0CD" w:themeColor="accent1" w:themeTint="BF"/>
            </w:tcBorders>
          </w:tcPr>
          <w:p w14:paraId="62700435" w14:textId="6E77AB2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11</w:t>
            </w:r>
          </w:p>
        </w:tc>
      </w:tr>
      <w:tr w:rsidR="00794210" w:rsidRPr="00A07E93" w14:paraId="0F22AB72"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34ACF01" w14:textId="52D714F6"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7F40319" w14:textId="214F4B2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727B698" w14:textId="0820EE2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19-1029</w:t>
            </w:r>
          </w:p>
        </w:tc>
        <w:tc>
          <w:tcPr>
            <w:tcW w:w="2340" w:type="dxa"/>
            <w:tcBorders>
              <w:left w:val="single" w:sz="8" w:space="0" w:color="7BA0CD" w:themeColor="accent1" w:themeTint="BF"/>
              <w:right w:val="single" w:sz="8" w:space="0" w:color="7BA0CD" w:themeColor="accent1" w:themeTint="BF"/>
            </w:tcBorders>
          </w:tcPr>
          <w:p w14:paraId="6994ADE6" w14:textId="591F6AA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Biological Scientists, All Other</w:t>
            </w:r>
          </w:p>
        </w:tc>
        <w:tc>
          <w:tcPr>
            <w:tcW w:w="1080" w:type="dxa"/>
            <w:tcBorders>
              <w:left w:val="single" w:sz="8" w:space="0" w:color="7BA0CD" w:themeColor="accent1" w:themeTint="BF"/>
              <w:right w:val="single" w:sz="8" w:space="0" w:color="7BA0CD" w:themeColor="accent1" w:themeTint="BF"/>
            </w:tcBorders>
          </w:tcPr>
          <w:p w14:paraId="07E031BE" w14:textId="3E0212E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0.81</w:t>
            </w:r>
          </w:p>
        </w:tc>
        <w:tc>
          <w:tcPr>
            <w:tcW w:w="900" w:type="dxa"/>
            <w:tcBorders>
              <w:left w:val="single" w:sz="8" w:space="0" w:color="7BA0CD" w:themeColor="accent1" w:themeTint="BF"/>
              <w:right w:val="single" w:sz="8" w:space="0" w:color="7BA0CD" w:themeColor="accent1" w:themeTint="BF"/>
            </w:tcBorders>
          </w:tcPr>
          <w:p w14:paraId="3EE0E9B1" w14:textId="5B2AE1B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w:t>
            </w:r>
          </w:p>
        </w:tc>
        <w:tc>
          <w:tcPr>
            <w:tcW w:w="900" w:type="dxa"/>
            <w:tcBorders>
              <w:left w:val="single" w:sz="8" w:space="0" w:color="7BA0CD" w:themeColor="accent1" w:themeTint="BF"/>
            </w:tcBorders>
          </w:tcPr>
          <w:p w14:paraId="5571F075" w14:textId="181B486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w:t>
            </w:r>
          </w:p>
        </w:tc>
      </w:tr>
      <w:tr w:rsidR="00794210" w:rsidRPr="00A07E93" w14:paraId="0F0C9B6A"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0180051" w14:textId="3A078877"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3D0FD56" w14:textId="1B0AD90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393CB3F" w14:textId="0176427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19-1099</w:t>
            </w:r>
          </w:p>
        </w:tc>
        <w:tc>
          <w:tcPr>
            <w:tcW w:w="2340" w:type="dxa"/>
            <w:tcBorders>
              <w:left w:val="single" w:sz="8" w:space="0" w:color="7BA0CD" w:themeColor="accent1" w:themeTint="BF"/>
              <w:right w:val="single" w:sz="8" w:space="0" w:color="7BA0CD" w:themeColor="accent1" w:themeTint="BF"/>
            </w:tcBorders>
          </w:tcPr>
          <w:p w14:paraId="47E9053B" w14:textId="3D938F3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Life Scientists, All Other</w:t>
            </w:r>
          </w:p>
        </w:tc>
        <w:tc>
          <w:tcPr>
            <w:tcW w:w="1080" w:type="dxa"/>
            <w:tcBorders>
              <w:left w:val="single" w:sz="8" w:space="0" w:color="7BA0CD" w:themeColor="accent1" w:themeTint="BF"/>
              <w:right w:val="single" w:sz="8" w:space="0" w:color="7BA0CD" w:themeColor="accent1" w:themeTint="BF"/>
            </w:tcBorders>
          </w:tcPr>
          <w:p w14:paraId="517A7E00" w14:textId="79AFE24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0.79</w:t>
            </w:r>
          </w:p>
        </w:tc>
        <w:tc>
          <w:tcPr>
            <w:tcW w:w="900" w:type="dxa"/>
            <w:tcBorders>
              <w:left w:val="single" w:sz="8" w:space="0" w:color="7BA0CD" w:themeColor="accent1" w:themeTint="BF"/>
              <w:right w:val="single" w:sz="8" w:space="0" w:color="7BA0CD" w:themeColor="accent1" w:themeTint="BF"/>
            </w:tcBorders>
          </w:tcPr>
          <w:p w14:paraId="6340B079" w14:textId="5D28E5B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w:t>
            </w:r>
          </w:p>
        </w:tc>
        <w:tc>
          <w:tcPr>
            <w:tcW w:w="900" w:type="dxa"/>
            <w:tcBorders>
              <w:left w:val="single" w:sz="8" w:space="0" w:color="7BA0CD" w:themeColor="accent1" w:themeTint="BF"/>
            </w:tcBorders>
          </w:tcPr>
          <w:p w14:paraId="43BEF011" w14:textId="09138FF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2</w:t>
            </w:r>
          </w:p>
        </w:tc>
      </w:tr>
      <w:tr w:rsidR="00794210" w:rsidRPr="00A07E93" w14:paraId="501438A9"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1B2DFD0" w14:textId="008FC8B0" w:rsidR="00794210" w:rsidRPr="004F20A7" w:rsidRDefault="00794210" w:rsidP="00CF4D11">
            <w:pPr>
              <w:pStyle w:val="Tablenormalleft"/>
              <w:keepNext w:val="0"/>
              <w:widowControl w:val="0"/>
              <w:jc w:val="left"/>
              <w:rPr>
                <w:rFonts w:eastAsiaTheme="minorHAnsi"/>
                <w:szCs w:val="18"/>
              </w:rPr>
            </w:pPr>
            <w:r w:rsidRPr="00A304D0">
              <w:t>27.0101</w:t>
            </w:r>
          </w:p>
        </w:tc>
        <w:tc>
          <w:tcPr>
            <w:tcW w:w="2340" w:type="dxa"/>
            <w:tcBorders>
              <w:left w:val="single" w:sz="8" w:space="0" w:color="7BA0CD" w:themeColor="accent1" w:themeTint="BF"/>
              <w:right w:val="single" w:sz="8" w:space="0" w:color="7BA0CD" w:themeColor="accent1" w:themeTint="BF"/>
            </w:tcBorders>
          </w:tcPr>
          <w:p w14:paraId="76411224" w14:textId="15FA142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Mathematics, General</w:t>
            </w:r>
          </w:p>
        </w:tc>
        <w:tc>
          <w:tcPr>
            <w:tcW w:w="900" w:type="dxa"/>
            <w:tcBorders>
              <w:left w:val="single" w:sz="8" w:space="0" w:color="7BA0CD" w:themeColor="accent1" w:themeTint="BF"/>
              <w:right w:val="single" w:sz="8" w:space="0" w:color="7BA0CD" w:themeColor="accent1" w:themeTint="BF"/>
            </w:tcBorders>
          </w:tcPr>
          <w:p w14:paraId="3961D85A" w14:textId="0A6B34B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11-9121</w:t>
            </w:r>
          </w:p>
        </w:tc>
        <w:tc>
          <w:tcPr>
            <w:tcW w:w="2340" w:type="dxa"/>
            <w:tcBorders>
              <w:left w:val="single" w:sz="8" w:space="0" w:color="7BA0CD" w:themeColor="accent1" w:themeTint="BF"/>
              <w:right w:val="single" w:sz="8" w:space="0" w:color="7BA0CD" w:themeColor="accent1" w:themeTint="BF"/>
            </w:tcBorders>
          </w:tcPr>
          <w:p w14:paraId="79B5D679" w14:textId="76CA1EB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Natural Sciences Managers</w:t>
            </w:r>
          </w:p>
        </w:tc>
        <w:tc>
          <w:tcPr>
            <w:tcW w:w="1080" w:type="dxa"/>
            <w:tcBorders>
              <w:left w:val="single" w:sz="8" w:space="0" w:color="7BA0CD" w:themeColor="accent1" w:themeTint="BF"/>
              <w:right w:val="single" w:sz="8" w:space="0" w:color="7BA0CD" w:themeColor="accent1" w:themeTint="BF"/>
            </w:tcBorders>
          </w:tcPr>
          <w:p w14:paraId="4FF1E1BB" w14:textId="4573E79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0.17</w:t>
            </w:r>
          </w:p>
        </w:tc>
        <w:tc>
          <w:tcPr>
            <w:tcW w:w="900" w:type="dxa"/>
            <w:tcBorders>
              <w:left w:val="single" w:sz="8" w:space="0" w:color="7BA0CD" w:themeColor="accent1" w:themeTint="BF"/>
              <w:right w:val="single" w:sz="8" w:space="0" w:color="7BA0CD" w:themeColor="accent1" w:themeTint="BF"/>
            </w:tcBorders>
          </w:tcPr>
          <w:p w14:paraId="0D6DB3DB" w14:textId="43C2913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7</w:t>
            </w:r>
          </w:p>
        </w:tc>
        <w:tc>
          <w:tcPr>
            <w:tcW w:w="900" w:type="dxa"/>
            <w:tcBorders>
              <w:left w:val="single" w:sz="8" w:space="0" w:color="7BA0CD" w:themeColor="accent1" w:themeTint="BF"/>
            </w:tcBorders>
          </w:tcPr>
          <w:p w14:paraId="449981C5" w14:textId="14C3E68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11</w:t>
            </w:r>
          </w:p>
        </w:tc>
      </w:tr>
      <w:tr w:rsidR="00794210" w:rsidRPr="00A07E93" w14:paraId="33BF9FF1"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2CE79EC" w14:textId="2CA14857"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62813FF" w14:textId="1FFB265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A93FF7E" w14:textId="523C61F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15-2021</w:t>
            </w:r>
          </w:p>
        </w:tc>
        <w:tc>
          <w:tcPr>
            <w:tcW w:w="2340" w:type="dxa"/>
            <w:tcBorders>
              <w:left w:val="single" w:sz="8" w:space="0" w:color="7BA0CD" w:themeColor="accent1" w:themeTint="BF"/>
              <w:right w:val="single" w:sz="8" w:space="0" w:color="7BA0CD" w:themeColor="accent1" w:themeTint="BF"/>
            </w:tcBorders>
          </w:tcPr>
          <w:p w14:paraId="5ABD6727" w14:textId="50D4C4E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Mathematicians</w:t>
            </w:r>
          </w:p>
        </w:tc>
        <w:tc>
          <w:tcPr>
            <w:tcW w:w="1080" w:type="dxa"/>
            <w:tcBorders>
              <w:left w:val="single" w:sz="8" w:space="0" w:color="7BA0CD" w:themeColor="accent1" w:themeTint="BF"/>
              <w:right w:val="single" w:sz="8" w:space="0" w:color="7BA0CD" w:themeColor="accent1" w:themeTint="BF"/>
            </w:tcBorders>
          </w:tcPr>
          <w:p w14:paraId="2F2B2FF7" w14:textId="53630EA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0.91</w:t>
            </w:r>
          </w:p>
        </w:tc>
        <w:tc>
          <w:tcPr>
            <w:tcW w:w="900" w:type="dxa"/>
            <w:tcBorders>
              <w:left w:val="single" w:sz="8" w:space="0" w:color="7BA0CD" w:themeColor="accent1" w:themeTint="BF"/>
              <w:right w:val="single" w:sz="8" w:space="0" w:color="7BA0CD" w:themeColor="accent1" w:themeTint="BF"/>
            </w:tcBorders>
          </w:tcPr>
          <w:p w14:paraId="26DBE6AE" w14:textId="142758B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8</w:t>
            </w:r>
          </w:p>
        </w:tc>
        <w:tc>
          <w:tcPr>
            <w:tcW w:w="900" w:type="dxa"/>
            <w:tcBorders>
              <w:left w:val="single" w:sz="8" w:space="0" w:color="7BA0CD" w:themeColor="accent1" w:themeTint="BF"/>
            </w:tcBorders>
          </w:tcPr>
          <w:p w14:paraId="5D2D73C8" w14:textId="76518B9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11</w:t>
            </w:r>
          </w:p>
        </w:tc>
      </w:tr>
      <w:tr w:rsidR="00794210" w:rsidRPr="00A07E93" w14:paraId="1069A7E9"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967A3AF" w14:textId="3360E46C"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7FF672F" w14:textId="3E4ACB3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C266485" w14:textId="37D5612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15-2041</w:t>
            </w:r>
          </w:p>
        </w:tc>
        <w:tc>
          <w:tcPr>
            <w:tcW w:w="2340" w:type="dxa"/>
            <w:tcBorders>
              <w:left w:val="single" w:sz="8" w:space="0" w:color="7BA0CD" w:themeColor="accent1" w:themeTint="BF"/>
              <w:right w:val="single" w:sz="8" w:space="0" w:color="7BA0CD" w:themeColor="accent1" w:themeTint="BF"/>
            </w:tcBorders>
          </w:tcPr>
          <w:p w14:paraId="07EB121E" w14:textId="166A155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Statisticians</w:t>
            </w:r>
          </w:p>
        </w:tc>
        <w:tc>
          <w:tcPr>
            <w:tcW w:w="1080" w:type="dxa"/>
            <w:tcBorders>
              <w:left w:val="single" w:sz="8" w:space="0" w:color="7BA0CD" w:themeColor="accent1" w:themeTint="BF"/>
              <w:right w:val="single" w:sz="8" w:space="0" w:color="7BA0CD" w:themeColor="accent1" w:themeTint="BF"/>
            </w:tcBorders>
          </w:tcPr>
          <w:p w14:paraId="6022CD88" w14:textId="349A3A9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0.98</w:t>
            </w:r>
          </w:p>
        </w:tc>
        <w:tc>
          <w:tcPr>
            <w:tcW w:w="900" w:type="dxa"/>
            <w:tcBorders>
              <w:left w:val="single" w:sz="8" w:space="0" w:color="7BA0CD" w:themeColor="accent1" w:themeTint="BF"/>
              <w:right w:val="single" w:sz="8" w:space="0" w:color="7BA0CD" w:themeColor="accent1" w:themeTint="BF"/>
            </w:tcBorders>
          </w:tcPr>
          <w:p w14:paraId="3233C2EF" w14:textId="0D6BAFC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8</w:t>
            </w:r>
          </w:p>
        </w:tc>
        <w:tc>
          <w:tcPr>
            <w:tcW w:w="900" w:type="dxa"/>
            <w:tcBorders>
              <w:left w:val="single" w:sz="8" w:space="0" w:color="7BA0CD" w:themeColor="accent1" w:themeTint="BF"/>
            </w:tcBorders>
          </w:tcPr>
          <w:p w14:paraId="06CA0D37" w14:textId="4AB3F3C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11</w:t>
            </w:r>
          </w:p>
        </w:tc>
      </w:tr>
      <w:tr w:rsidR="00794210" w:rsidRPr="00A07E93" w14:paraId="19A82AE2"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05B6093" w14:textId="4287702A"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C94B375" w14:textId="148F5A7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FB550FE" w14:textId="17E8F4C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15-2099</w:t>
            </w:r>
          </w:p>
        </w:tc>
        <w:tc>
          <w:tcPr>
            <w:tcW w:w="2340" w:type="dxa"/>
            <w:tcBorders>
              <w:left w:val="single" w:sz="8" w:space="0" w:color="7BA0CD" w:themeColor="accent1" w:themeTint="BF"/>
              <w:right w:val="single" w:sz="8" w:space="0" w:color="7BA0CD" w:themeColor="accent1" w:themeTint="BF"/>
            </w:tcBorders>
          </w:tcPr>
          <w:p w14:paraId="29F0F0AC" w14:textId="2FFD610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Mathematical Science Occupations, All Other</w:t>
            </w:r>
          </w:p>
        </w:tc>
        <w:tc>
          <w:tcPr>
            <w:tcW w:w="1080" w:type="dxa"/>
            <w:tcBorders>
              <w:left w:val="single" w:sz="8" w:space="0" w:color="7BA0CD" w:themeColor="accent1" w:themeTint="BF"/>
              <w:right w:val="single" w:sz="8" w:space="0" w:color="7BA0CD" w:themeColor="accent1" w:themeTint="BF"/>
            </w:tcBorders>
          </w:tcPr>
          <w:p w14:paraId="1B4DCC81" w14:textId="0A14108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0.97</w:t>
            </w:r>
          </w:p>
        </w:tc>
        <w:tc>
          <w:tcPr>
            <w:tcW w:w="900" w:type="dxa"/>
            <w:tcBorders>
              <w:left w:val="single" w:sz="8" w:space="0" w:color="7BA0CD" w:themeColor="accent1" w:themeTint="BF"/>
              <w:right w:val="single" w:sz="8" w:space="0" w:color="7BA0CD" w:themeColor="accent1" w:themeTint="BF"/>
            </w:tcBorders>
          </w:tcPr>
          <w:p w14:paraId="12AB386C" w14:textId="69ACA97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8</w:t>
            </w:r>
          </w:p>
        </w:tc>
        <w:tc>
          <w:tcPr>
            <w:tcW w:w="900" w:type="dxa"/>
            <w:tcBorders>
              <w:left w:val="single" w:sz="8" w:space="0" w:color="7BA0CD" w:themeColor="accent1" w:themeTint="BF"/>
            </w:tcBorders>
          </w:tcPr>
          <w:p w14:paraId="4DA04C9E" w14:textId="2EAFB32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11</w:t>
            </w:r>
          </w:p>
        </w:tc>
      </w:tr>
      <w:tr w:rsidR="00794210" w:rsidRPr="00A07E93" w14:paraId="46BCF52A"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381DFA4" w14:textId="326E5196" w:rsidR="00794210" w:rsidRPr="004F20A7" w:rsidRDefault="00794210" w:rsidP="00CF4D11">
            <w:pPr>
              <w:pStyle w:val="Tablenormalleft"/>
              <w:keepNext w:val="0"/>
              <w:widowControl w:val="0"/>
              <w:jc w:val="left"/>
              <w:rPr>
                <w:rFonts w:eastAsiaTheme="minorHAnsi"/>
                <w:szCs w:val="18"/>
              </w:rPr>
            </w:pPr>
            <w:r w:rsidRPr="00A304D0">
              <w:t>40.0101</w:t>
            </w:r>
          </w:p>
        </w:tc>
        <w:tc>
          <w:tcPr>
            <w:tcW w:w="2340" w:type="dxa"/>
            <w:tcBorders>
              <w:left w:val="single" w:sz="8" w:space="0" w:color="7BA0CD" w:themeColor="accent1" w:themeTint="BF"/>
              <w:right w:val="single" w:sz="8" w:space="0" w:color="7BA0CD" w:themeColor="accent1" w:themeTint="BF"/>
            </w:tcBorders>
          </w:tcPr>
          <w:p w14:paraId="086D719F" w14:textId="2F72A44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Physical Sciences</w:t>
            </w:r>
          </w:p>
        </w:tc>
        <w:tc>
          <w:tcPr>
            <w:tcW w:w="900" w:type="dxa"/>
            <w:tcBorders>
              <w:left w:val="single" w:sz="8" w:space="0" w:color="7BA0CD" w:themeColor="accent1" w:themeTint="BF"/>
              <w:right w:val="single" w:sz="8" w:space="0" w:color="7BA0CD" w:themeColor="accent1" w:themeTint="BF"/>
            </w:tcBorders>
          </w:tcPr>
          <w:p w14:paraId="69AC8879" w14:textId="31FCEB0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11-9121</w:t>
            </w:r>
          </w:p>
        </w:tc>
        <w:tc>
          <w:tcPr>
            <w:tcW w:w="2340" w:type="dxa"/>
            <w:tcBorders>
              <w:left w:val="single" w:sz="8" w:space="0" w:color="7BA0CD" w:themeColor="accent1" w:themeTint="BF"/>
              <w:right w:val="single" w:sz="8" w:space="0" w:color="7BA0CD" w:themeColor="accent1" w:themeTint="BF"/>
            </w:tcBorders>
          </w:tcPr>
          <w:p w14:paraId="1AFC6E24" w14:textId="3CD850A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Natural Sciences Managers</w:t>
            </w:r>
          </w:p>
        </w:tc>
        <w:tc>
          <w:tcPr>
            <w:tcW w:w="1080" w:type="dxa"/>
            <w:tcBorders>
              <w:left w:val="single" w:sz="8" w:space="0" w:color="7BA0CD" w:themeColor="accent1" w:themeTint="BF"/>
              <w:right w:val="single" w:sz="8" w:space="0" w:color="7BA0CD" w:themeColor="accent1" w:themeTint="BF"/>
            </w:tcBorders>
          </w:tcPr>
          <w:p w14:paraId="611A08EF" w14:textId="2F70FC0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3ED598F5" w14:textId="42A8727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7</w:t>
            </w:r>
          </w:p>
        </w:tc>
        <w:tc>
          <w:tcPr>
            <w:tcW w:w="900" w:type="dxa"/>
            <w:tcBorders>
              <w:left w:val="single" w:sz="8" w:space="0" w:color="7BA0CD" w:themeColor="accent1" w:themeTint="BF"/>
            </w:tcBorders>
          </w:tcPr>
          <w:p w14:paraId="2359CA91" w14:textId="2E61CDA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11</w:t>
            </w:r>
          </w:p>
        </w:tc>
      </w:tr>
      <w:tr w:rsidR="00794210" w:rsidRPr="00A07E93" w14:paraId="57895548"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A1639F4" w14:textId="5D27F59D" w:rsidR="00794210" w:rsidRPr="004F20A7" w:rsidRDefault="00794210" w:rsidP="00CF4D11">
            <w:pPr>
              <w:pStyle w:val="Tablenormalleft"/>
              <w:keepNext w:val="0"/>
              <w:widowControl w:val="0"/>
              <w:jc w:val="left"/>
              <w:rPr>
                <w:rFonts w:eastAsiaTheme="minorHAnsi"/>
                <w:szCs w:val="18"/>
              </w:rPr>
            </w:pPr>
            <w:r w:rsidRPr="00A304D0">
              <w:t>40.0801</w:t>
            </w:r>
          </w:p>
        </w:tc>
        <w:tc>
          <w:tcPr>
            <w:tcW w:w="2340" w:type="dxa"/>
            <w:tcBorders>
              <w:left w:val="single" w:sz="8" w:space="0" w:color="7BA0CD" w:themeColor="accent1" w:themeTint="BF"/>
              <w:right w:val="single" w:sz="8" w:space="0" w:color="7BA0CD" w:themeColor="accent1" w:themeTint="BF"/>
            </w:tcBorders>
          </w:tcPr>
          <w:p w14:paraId="21BA1C7C" w14:textId="4FB9FF7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Physics, General</w:t>
            </w:r>
          </w:p>
        </w:tc>
        <w:tc>
          <w:tcPr>
            <w:tcW w:w="900" w:type="dxa"/>
            <w:tcBorders>
              <w:left w:val="single" w:sz="8" w:space="0" w:color="7BA0CD" w:themeColor="accent1" w:themeTint="BF"/>
              <w:right w:val="single" w:sz="8" w:space="0" w:color="7BA0CD" w:themeColor="accent1" w:themeTint="BF"/>
            </w:tcBorders>
          </w:tcPr>
          <w:p w14:paraId="7BE38886" w14:textId="125DA9B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11-9121</w:t>
            </w:r>
          </w:p>
        </w:tc>
        <w:tc>
          <w:tcPr>
            <w:tcW w:w="2340" w:type="dxa"/>
            <w:tcBorders>
              <w:left w:val="single" w:sz="8" w:space="0" w:color="7BA0CD" w:themeColor="accent1" w:themeTint="BF"/>
              <w:right w:val="single" w:sz="8" w:space="0" w:color="7BA0CD" w:themeColor="accent1" w:themeTint="BF"/>
            </w:tcBorders>
          </w:tcPr>
          <w:p w14:paraId="62F987D2" w14:textId="27AA6D7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Natural Sciences Managers</w:t>
            </w:r>
          </w:p>
        </w:tc>
        <w:tc>
          <w:tcPr>
            <w:tcW w:w="1080" w:type="dxa"/>
            <w:tcBorders>
              <w:left w:val="single" w:sz="8" w:space="0" w:color="7BA0CD" w:themeColor="accent1" w:themeTint="BF"/>
              <w:right w:val="single" w:sz="8" w:space="0" w:color="7BA0CD" w:themeColor="accent1" w:themeTint="BF"/>
            </w:tcBorders>
          </w:tcPr>
          <w:p w14:paraId="19DC68F8" w14:textId="7AE0213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37B3B83A" w14:textId="27E3A80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7</w:t>
            </w:r>
          </w:p>
        </w:tc>
        <w:tc>
          <w:tcPr>
            <w:tcW w:w="900" w:type="dxa"/>
            <w:tcBorders>
              <w:left w:val="single" w:sz="8" w:space="0" w:color="7BA0CD" w:themeColor="accent1" w:themeTint="BF"/>
            </w:tcBorders>
          </w:tcPr>
          <w:p w14:paraId="04AF6383" w14:textId="2875393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11</w:t>
            </w:r>
          </w:p>
        </w:tc>
      </w:tr>
      <w:tr w:rsidR="00794210" w:rsidRPr="00A07E93" w14:paraId="0FBE339F"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A9989F1" w14:textId="22831813"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F4DB3C5" w14:textId="0B0EEDC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2F688DF" w14:textId="5BE2214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19-2012</w:t>
            </w:r>
          </w:p>
        </w:tc>
        <w:tc>
          <w:tcPr>
            <w:tcW w:w="2340" w:type="dxa"/>
            <w:tcBorders>
              <w:left w:val="single" w:sz="8" w:space="0" w:color="7BA0CD" w:themeColor="accent1" w:themeTint="BF"/>
              <w:right w:val="single" w:sz="8" w:space="0" w:color="7BA0CD" w:themeColor="accent1" w:themeTint="BF"/>
            </w:tcBorders>
          </w:tcPr>
          <w:p w14:paraId="26EDBA0A" w14:textId="2AE7082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Physicists</w:t>
            </w:r>
          </w:p>
        </w:tc>
        <w:tc>
          <w:tcPr>
            <w:tcW w:w="1080" w:type="dxa"/>
            <w:tcBorders>
              <w:left w:val="single" w:sz="8" w:space="0" w:color="7BA0CD" w:themeColor="accent1" w:themeTint="BF"/>
              <w:right w:val="single" w:sz="8" w:space="0" w:color="7BA0CD" w:themeColor="accent1" w:themeTint="BF"/>
            </w:tcBorders>
          </w:tcPr>
          <w:p w14:paraId="0906E21C" w14:textId="171FE8C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681D02CB" w14:textId="264E67D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6</w:t>
            </w:r>
          </w:p>
        </w:tc>
        <w:tc>
          <w:tcPr>
            <w:tcW w:w="900" w:type="dxa"/>
            <w:tcBorders>
              <w:left w:val="single" w:sz="8" w:space="0" w:color="7BA0CD" w:themeColor="accent1" w:themeTint="BF"/>
            </w:tcBorders>
          </w:tcPr>
          <w:p w14:paraId="3C010F8C" w14:textId="1167107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7</w:t>
            </w:r>
          </w:p>
        </w:tc>
      </w:tr>
      <w:tr w:rsidR="00794210" w:rsidRPr="00A07E93" w14:paraId="7A2F522D"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ECF125D" w14:textId="7B188D66" w:rsidR="00794210" w:rsidRPr="004F20A7" w:rsidRDefault="00794210" w:rsidP="00CF4D11">
            <w:pPr>
              <w:pStyle w:val="Tablenormalleft"/>
              <w:keepNext w:val="0"/>
              <w:widowControl w:val="0"/>
              <w:jc w:val="left"/>
              <w:rPr>
                <w:rFonts w:eastAsiaTheme="minorHAnsi"/>
                <w:szCs w:val="18"/>
              </w:rPr>
            </w:pPr>
            <w:r w:rsidRPr="00A304D0">
              <w:t>42.0101</w:t>
            </w:r>
          </w:p>
        </w:tc>
        <w:tc>
          <w:tcPr>
            <w:tcW w:w="2340" w:type="dxa"/>
            <w:tcBorders>
              <w:left w:val="single" w:sz="8" w:space="0" w:color="7BA0CD" w:themeColor="accent1" w:themeTint="BF"/>
              <w:right w:val="single" w:sz="8" w:space="0" w:color="7BA0CD" w:themeColor="accent1" w:themeTint="BF"/>
            </w:tcBorders>
          </w:tcPr>
          <w:p w14:paraId="390024B8" w14:textId="215666E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Psychology, General</w:t>
            </w:r>
          </w:p>
        </w:tc>
        <w:tc>
          <w:tcPr>
            <w:tcW w:w="900" w:type="dxa"/>
            <w:tcBorders>
              <w:left w:val="single" w:sz="8" w:space="0" w:color="7BA0CD" w:themeColor="accent1" w:themeTint="BF"/>
              <w:right w:val="single" w:sz="8" w:space="0" w:color="7BA0CD" w:themeColor="accent1" w:themeTint="BF"/>
            </w:tcBorders>
          </w:tcPr>
          <w:p w14:paraId="558D83C1" w14:textId="1D92689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19-3031</w:t>
            </w:r>
          </w:p>
        </w:tc>
        <w:tc>
          <w:tcPr>
            <w:tcW w:w="2340" w:type="dxa"/>
            <w:tcBorders>
              <w:left w:val="single" w:sz="8" w:space="0" w:color="7BA0CD" w:themeColor="accent1" w:themeTint="BF"/>
              <w:right w:val="single" w:sz="8" w:space="0" w:color="7BA0CD" w:themeColor="accent1" w:themeTint="BF"/>
            </w:tcBorders>
          </w:tcPr>
          <w:p w14:paraId="310465F2" w14:textId="03BF537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Clinical, Counseling, and School Psychologists</w:t>
            </w:r>
          </w:p>
        </w:tc>
        <w:tc>
          <w:tcPr>
            <w:tcW w:w="1080" w:type="dxa"/>
            <w:tcBorders>
              <w:left w:val="single" w:sz="8" w:space="0" w:color="7BA0CD" w:themeColor="accent1" w:themeTint="BF"/>
              <w:right w:val="single" w:sz="8" w:space="0" w:color="7BA0CD" w:themeColor="accent1" w:themeTint="BF"/>
            </w:tcBorders>
          </w:tcPr>
          <w:p w14:paraId="10C7BECC" w14:textId="06B5B8D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0.96</w:t>
            </w:r>
          </w:p>
        </w:tc>
        <w:tc>
          <w:tcPr>
            <w:tcW w:w="900" w:type="dxa"/>
            <w:tcBorders>
              <w:left w:val="single" w:sz="8" w:space="0" w:color="7BA0CD" w:themeColor="accent1" w:themeTint="BF"/>
              <w:right w:val="single" w:sz="8" w:space="0" w:color="7BA0CD" w:themeColor="accent1" w:themeTint="BF"/>
            </w:tcBorders>
          </w:tcPr>
          <w:p w14:paraId="59EF4F55" w14:textId="71F1F2E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w:t>
            </w:r>
          </w:p>
        </w:tc>
        <w:tc>
          <w:tcPr>
            <w:tcW w:w="900" w:type="dxa"/>
            <w:tcBorders>
              <w:left w:val="single" w:sz="8" w:space="0" w:color="7BA0CD" w:themeColor="accent1" w:themeTint="BF"/>
            </w:tcBorders>
          </w:tcPr>
          <w:p w14:paraId="4CC344B3" w14:textId="32309679"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w:t>
            </w:r>
          </w:p>
        </w:tc>
      </w:tr>
      <w:tr w:rsidR="00794210" w:rsidRPr="00A07E93" w14:paraId="2AEC5FDF"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4708FAC" w14:textId="3EB0EE70"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D446E9B" w14:textId="4740F15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5542831" w14:textId="4008337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19-3032</w:t>
            </w:r>
          </w:p>
        </w:tc>
        <w:tc>
          <w:tcPr>
            <w:tcW w:w="2340" w:type="dxa"/>
            <w:tcBorders>
              <w:left w:val="single" w:sz="8" w:space="0" w:color="7BA0CD" w:themeColor="accent1" w:themeTint="BF"/>
              <w:right w:val="single" w:sz="8" w:space="0" w:color="7BA0CD" w:themeColor="accent1" w:themeTint="BF"/>
            </w:tcBorders>
          </w:tcPr>
          <w:p w14:paraId="3896D19E" w14:textId="78E0D4E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Industrial-Organizational Psychologists</w:t>
            </w:r>
          </w:p>
        </w:tc>
        <w:tc>
          <w:tcPr>
            <w:tcW w:w="1080" w:type="dxa"/>
            <w:tcBorders>
              <w:left w:val="single" w:sz="8" w:space="0" w:color="7BA0CD" w:themeColor="accent1" w:themeTint="BF"/>
              <w:right w:val="single" w:sz="8" w:space="0" w:color="7BA0CD" w:themeColor="accent1" w:themeTint="BF"/>
            </w:tcBorders>
          </w:tcPr>
          <w:p w14:paraId="0CF470F2" w14:textId="119C3E0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189D9F86" w14:textId="6FCFD0F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w:t>
            </w:r>
          </w:p>
        </w:tc>
        <w:tc>
          <w:tcPr>
            <w:tcW w:w="900" w:type="dxa"/>
            <w:tcBorders>
              <w:left w:val="single" w:sz="8" w:space="0" w:color="7BA0CD" w:themeColor="accent1" w:themeTint="BF"/>
            </w:tcBorders>
          </w:tcPr>
          <w:p w14:paraId="71FDA694" w14:textId="6B07ACC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w:t>
            </w:r>
          </w:p>
        </w:tc>
      </w:tr>
      <w:tr w:rsidR="00794210" w:rsidRPr="00A07E93" w14:paraId="6D251472"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926BB43" w14:textId="5AEB2CA7"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DEADD97" w14:textId="6C7B01F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643EB68" w14:textId="559B17D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19-3039</w:t>
            </w:r>
          </w:p>
        </w:tc>
        <w:tc>
          <w:tcPr>
            <w:tcW w:w="2340" w:type="dxa"/>
            <w:tcBorders>
              <w:left w:val="single" w:sz="8" w:space="0" w:color="7BA0CD" w:themeColor="accent1" w:themeTint="BF"/>
              <w:right w:val="single" w:sz="8" w:space="0" w:color="7BA0CD" w:themeColor="accent1" w:themeTint="BF"/>
            </w:tcBorders>
          </w:tcPr>
          <w:p w14:paraId="56AAD0DE" w14:textId="0F907B2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Psychologists, All Other</w:t>
            </w:r>
          </w:p>
        </w:tc>
        <w:tc>
          <w:tcPr>
            <w:tcW w:w="1080" w:type="dxa"/>
            <w:tcBorders>
              <w:left w:val="single" w:sz="8" w:space="0" w:color="7BA0CD" w:themeColor="accent1" w:themeTint="BF"/>
              <w:right w:val="single" w:sz="8" w:space="0" w:color="7BA0CD" w:themeColor="accent1" w:themeTint="BF"/>
            </w:tcBorders>
          </w:tcPr>
          <w:p w14:paraId="721BB78D" w14:textId="4CE851B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0.86</w:t>
            </w:r>
          </w:p>
        </w:tc>
        <w:tc>
          <w:tcPr>
            <w:tcW w:w="900" w:type="dxa"/>
            <w:tcBorders>
              <w:left w:val="single" w:sz="8" w:space="0" w:color="7BA0CD" w:themeColor="accent1" w:themeTint="BF"/>
              <w:right w:val="single" w:sz="8" w:space="0" w:color="7BA0CD" w:themeColor="accent1" w:themeTint="BF"/>
            </w:tcBorders>
          </w:tcPr>
          <w:p w14:paraId="2C5D936F" w14:textId="25C090A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w:t>
            </w:r>
          </w:p>
        </w:tc>
        <w:tc>
          <w:tcPr>
            <w:tcW w:w="900" w:type="dxa"/>
            <w:tcBorders>
              <w:left w:val="single" w:sz="8" w:space="0" w:color="7BA0CD" w:themeColor="accent1" w:themeTint="BF"/>
            </w:tcBorders>
          </w:tcPr>
          <w:p w14:paraId="1CEDE2DE" w14:textId="59E52BE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w:t>
            </w:r>
          </w:p>
        </w:tc>
      </w:tr>
      <w:tr w:rsidR="00794210" w:rsidRPr="00A07E93" w14:paraId="751ABE6F"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28E434A" w14:textId="0A4B2C06" w:rsidR="00794210" w:rsidRPr="004F20A7" w:rsidRDefault="00794210" w:rsidP="00CF4D11">
            <w:pPr>
              <w:pStyle w:val="Tablenormalleft"/>
              <w:keepNext w:val="0"/>
              <w:widowControl w:val="0"/>
              <w:jc w:val="left"/>
              <w:rPr>
                <w:rFonts w:eastAsiaTheme="minorHAnsi"/>
                <w:szCs w:val="18"/>
              </w:rPr>
            </w:pPr>
            <w:r w:rsidRPr="00A304D0">
              <w:t>43.0103</w:t>
            </w:r>
          </w:p>
        </w:tc>
        <w:tc>
          <w:tcPr>
            <w:tcW w:w="2340" w:type="dxa"/>
            <w:tcBorders>
              <w:left w:val="single" w:sz="8" w:space="0" w:color="7BA0CD" w:themeColor="accent1" w:themeTint="BF"/>
              <w:right w:val="single" w:sz="8" w:space="0" w:color="7BA0CD" w:themeColor="accent1" w:themeTint="BF"/>
            </w:tcBorders>
          </w:tcPr>
          <w:p w14:paraId="66B83AAF" w14:textId="4CA51F9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Criminal Justice/Law Enfo</w:t>
            </w:r>
            <w:r w:rsidR="006C38C7">
              <w:t>CCC</w:t>
            </w:r>
            <w:r w:rsidRPr="00A304D0">
              <w:t>ement Administration</w:t>
            </w:r>
          </w:p>
        </w:tc>
        <w:tc>
          <w:tcPr>
            <w:tcW w:w="900" w:type="dxa"/>
            <w:tcBorders>
              <w:left w:val="single" w:sz="8" w:space="0" w:color="7BA0CD" w:themeColor="accent1" w:themeTint="BF"/>
              <w:right w:val="single" w:sz="8" w:space="0" w:color="7BA0CD" w:themeColor="accent1" w:themeTint="BF"/>
            </w:tcBorders>
          </w:tcPr>
          <w:p w14:paraId="44B02C62" w14:textId="46967AF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33-1012</w:t>
            </w:r>
          </w:p>
        </w:tc>
        <w:tc>
          <w:tcPr>
            <w:tcW w:w="2340" w:type="dxa"/>
            <w:tcBorders>
              <w:left w:val="single" w:sz="8" w:space="0" w:color="7BA0CD" w:themeColor="accent1" w:themeTint="BF"/>
              <w:right w:val="single" w:sz="8" w:space="0" w:color="7BA0CD" w:themeColor="accent1" w:themeTint="BF"/>
            </w:tcBorders>
          </w:tcPr>
          <w:p w14:paraId="35A37927" w14:textId="0EDB62E7"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First-Line Supervisors of Police and Detectives</w:t>
            </w:r>
          </w:p>
        </w:tc>
        <w:tc>
          <w:tcPr>
            <w:tcW w:w="1080" w:type="dxa"/>
            <w:tcBorders>
              <w:left w:val="single" w:sz="8" w:space="0" w:color="7BA0CD" w:themeColor="accent1" w:themeTint="BF"/>
              <w:right w:val="single" w:sz="8" w:space="0" w:color="7BA0CD" w:themeColor="accent1" w:themeTint="BF"/>
            </w:tcBorders>
          </w:tcPr>
          <w:p w14:paraId="5B6BA6EE" w14:textId="3F2347ED"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0.55</w:t>
            </w:r>
          </w:p>
        </w:tc>
        <w:tc>
          <w:tcPr>
            <w:tcW w:w="900" w:type="dxa"/>
            <w:tcBorders>
              <w:left w:val="single" w:sz="8" w:space="0" w:color="7BA0CD" w:themeColor="accent1" w:themeTint="BF"/>
              <w:right w:val="single" w:sz="8" w:space="0" w:color="7BA0CD" w:themeColor="accent1" w:themeTint="BF"/>
            </w:tcBorders>
          </w:tcPr>
          <w:p w14:paraId="4BEFE987" w14:textId="4112EC5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44</w:t>
            </w:r>
          </w:p>
        </w:tc>
        <w:tc>
          <w:tcPr>
            <w:tcW w:w="900" w:type="dxa"/>
            <w:tcBorders>
              <w:left w:val="single" w:sz="8" w:space="0" w:color="7BA0CD" w:themeColor="accent1" w:themeTint="BF"/>
            </w:tcBorders>
          </w:tcPr>
          <w:p w14:paraId="4DDEBD8E" w14:textId="651F7F6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59</w:t>
            </w:r>
          </w:p>
        </w:tc>
      </w:tr>
      <w:tr w:rsidR="00794210" w:rsidRPr="00A07E93" w14:paraId="0AD1BB9B"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E089DF7" w14:textId="3EB1FC49" w:rsidR="00794210" w:rsidRPr="004F20A7" w:rsidRDefault="00794210" w:rsidP="00CF4D11">
            <w:pPr>
              <w:pStyle w:val="Tablenormalleft"/>
              <w:keepNext w:val="0"/>
              <w:widowControl w:val="0"/>
              <w:jc w:val="left"/>
              <w:rPr>
                <w:rFonts w:eastAsiaTheme="minorHAnsi"/>
                <w:szCs w:val="18"/>
              </w:rPr>
            </w:pPr>
            <w:r w:rsidRPr="00A304D0">
              <w:t>43.0104</w:t>
            </w:r>
          </w:p>
        </w:tc>
        <w:tc>
          <w:tcPr>
            <w:tcW w:w="2340" w:type="dxa"/>
            <w:tcBorders>
              <w:left w:val="single" w:sz="8" w:space="0" w:color="7BA0CD" w:themeColor="accent1" w:themeTint="BF"/>
              <w:right w:val="single" w:sz="8" w:space="0" w:color="7BA0CD" w:themeColor="accent1" w:themeTint="BF"/>
            </w:tcBorders>
          </w:tcPr>
          <w:p w14:paraId="4BA0C6F3" w14:textId="2049504D"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Criminal Justice/Safety Studies</w:t>
            </w:r>
          </w:p>
        </w:tc>
        <w:tc>
          <w:tcPr>
            <w:tcW w:w="900" w:type="dxa"/>
            <w:tcBorders>
              <w:left w:val="single" w:sz="8" w:space="0" w:color="7BA0CD" w:themeColor="accent1" w:themeTint="BF"/>
              <w:right w:val="single" w:sz="8" w:space="0" w:color="7BA0CD" w:themeColor="accent1" w:themeTint="BF"/>
            </w:tcBorders>
          </w:tcPr>
          <w:p w14:paraId="71FD3749" w14:textId="745C40E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33-1012</w:t>
            </w:r>
          </w:p>
        </w:tc>
        <w:tc>
          <w:tcPr>
            <w:tcW w:w="2340" w:type="dxa"/>
            <w:tcBorders>
              <w:left w:val="single" w:sz="8" w:space="0" w:color="7BA0CD" w:themeColor="accent1" w:themeTint="BF"/>
              <w:right w:val="single" w:sz="8" w:space="0" w:color="7BA0CD" w:themeColor="accent1" w:themeTint="BF"/>
            </w:tcBorders>
          </w:tcPr>
          <w:p w14:paraId="1A3ED1A6" w14:textId="55213D6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First-Line Supervisors of Police and Detectives</w:t>
            </w:r>
          </w:p>
        </w:tc>
        <w:tc>
          <w:tcPr>
            <w:tcW w:w="1080" w:type="dxa"/>
            <w:tcBorders>
              <w:left w:val="single" w:sz="8" w:space="0" w:color="7BA0CD" w:themeColor="accent1" w:themeTint="BF"/>
              <w:right w:val="single" w:sz="8" w:space="0" w:color="7BA0CD" w:themeColor="accent1" w:themeTint="BF"/>
            </w:tcBorders>
          </w:tcPr>
          <w:p w14:paraId="76FD96F5" w14:textId="0ABCC68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0.37</w:t>
            </w:r>
          </w:p>
        </w:tc>
        <w:tc>
          <w:tcPr>
            <w:tcW w:w="900" w:type="dxa"/>
            <w:tcBorders>
              <w:left w:val="single" w:sz="8" w:space="0" w:color="7BA0CD" w:themeColor="accent1" w:themeTint="BF"/>
              <w:right w:val="single" w:sz="8" w:space="0" w:color="7BA0CD" w:themeColor="accent1" w:themeTint="BF"/>
            </w:tcBorders>
          </w:tcPr>
          <w:p w14:paraId="7995240B" w14:textId="41404C0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44</w:t>
            </w:r>
          </w:p>
        </w:tc>
        <w:tc>
          <w:tcPr>
            <w:tcW w:w="900" w:type="dxa"/>
            <w:tcBorders>
              <w:left w:val="single" w:sz="8" w:space="0" w:color="7BA0CD" w:themeColor="accent1" w:themeTint="BF"/>
            </w:tcBorders>
          </w:tcPr>
          <w:p w14:paraId="6994C18A" w14:textId="5223AA4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59</w:t>
            </w:r>
          </w:p>
        </w:tc>
      </w:tr>
      <w:tr w:rsidR="00794210" w:rsidRPr="00A07E93" w14:paraId="5E3DB3F7"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B16CF13" w14:textId="39881930" w:rsidR="00794210" w:rsidRPr="004F20A7" w:rsidRDefault="00794210" w:rsidP="00CF4D11">
            <w:pPr>
              <w:pStyle w:val="Tablenormalleft"/>
              <w:keepNext w:val="0"/>
              <w:widowControl w:val="0"/>
              <w:jc w:val="left"/>
              <w:rPr>
                <w:rFonts w:eastAsiaTheme="minorHAnsi"/>
                <w:szCs w:val="18"/>
              </w:rPr>
            </w:pPr>
            <w:r w:rsidRPr="00A304D0">
              <w:t>43.0107</w:t>
            </w:r>
          </w:p>
        </w:tc>
        <w:tc>
          <w:tcPr>
            <w:tcW w:w="2340" w:type="dxa"/>
            <w:tcBorders>
              <w:left w:val="single" w:sz="8" w:space="0" w:color="7BA0CD" w:themeColor="accent1" w:themeTint="BF"/>
              <w:right w:val="single" w:sz="8" w:space="0" w:color="7BA0CD" w:themeColor="accent1" w:themeTint="BF"/>
            </w:tcBorders>
          </w:tcPr>
          <w:p w14:paraId="2512D45C" w14:textId="34D13DD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Criminal Justice/Police Science</w:t>
            </w:r>
          </w:p>
        </w:tc>
        <w:tc>
          <w:tcPr>
            <w:tcW w:w="900" w:type="dxa"/>
            <w:tcBorders>
              <w:left w:val="single" w:sz="8" w:space="0" w:color="7BA0CD" w:themeColor="accent1" w:themeTint="BF"/>
              <w:right w:val="single" w:sz="8" w:space="0" w:color="7BA0CD" w:themeColor="accent1" w:themeTint="BF"/>
            </w:tcBorders>
          </w:tcPr>
          <w:p w14:paraId="5E6999B3" w14:textId="096460C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33-3011</w:t>
            </w:r>
          </w:p>
        </w:tc>
        <w:tc>
          <w:tcPr>
            <w:tcW w:w="2340" w:type="dxa"/>
            <w:tcBorders>
              <w:left w:val="single" w:sz="8" w:space="0" w:color="7BA0CD" w:themeColor="accent1" w:themeTint="BF"/>
              <w:right w:val="single" w:sz="8" w:space="0" w:color="7BA0CD" w:themeColor="accent1" w:themeTint="BF"/>
            </w:tcBorders>
          </w:tcPr>
          <w:p w14:paraId="143A3E6C" w14:textId="0DDAA6A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Bailiffs</w:t>
            </w:r>
          </w:p>
        </w:tc>
        <w:tc>
          <w:tcPr>
            <w:tcW w:w="1080" w:type="dxa"/>
            <w:tcBorders>
              <w:left w:val="single" w:sz="8" w:space="0" w:color="7BA0CD" w:themeColor="accent1" w:themeTint="BF"/>
              <w:right w:val="single" w:sz="8" w:space="0" w:color="7BA0CD" w:themeColor="accent1" w:themeTint="BF"/>
            </w:tcBorders>
          </w:tcPr>
          <w:p w14:paraId="19797946" w14:textId="1B93D38D"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642E2335" w14:textId="373F1FF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73</w:t>
            </w:r>
          </w:p>
        </w:tc>
        <w:tc>
          <w:tcPr>
            <w:tcW w:w="900" w:type="dxa"/>
            <w:tcBorders>
              <w:left w:val="single" w:sz="8" w:space="0" w:color="7BA0CD" w:themeColor="accent1" w:themeTint="BF"/>
            </w:tcBorders>
          </w:tcPr>
          <w:p w14:paraId="59098B9C" w14:textId="045CCF3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86</w:t>
            </w:r>
          </w:p>
        </w:tc>
      </w:tr>
      <w:tr w:rsidR="00794210" w:rsidRPr="00A07E93" w14:paraId="140161E6"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02DF1D6" w14:textId="7B0F95B8"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DA34FD1" w14:textId="4B6D7000"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D3A0427" w14:textId="6433784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33-3021</w:t>
            </w:r>
          </w:p>
        </w:tc>
        <w:tc>
          <w:tcPr>
            <w:tcW w:w="2340" w:type="dxa"/>
            <w:tcBorders>
              <w:left w:val="single" w:sz="8" w:space="0" w:color="7BA0CD" w:themeColor="accent1" w:themeTint="BF"/>
              <w:right w:val="single" w:sz="8" w:space="0" w:color="7BA0CD" w:themeColor="accent1" w:themeTint="BF"/>
            </w:tcBorders>
          </w:tcPr>
          <w:p w14:paraId="35BE44BB" w14:textId="3E57C15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Detectives and Criminal Investigators</w:t>
            </w:r>
          </w:p>
        </w:tc>
        <w:tc>
          <w:tcPr>
            <w:tcW w:w="1080" w:type="dxa"/>
            <w:tcBorders>
              <w:left w:val="single" w:sz="8" w:space="0" w:color="7BA0CD" w:themeColor="accent1" w:themeTint="BF"/>
              <w:right w:val="single" w:sz="8" w:space="0" w:color="7BA0CD" w:themeColor="accent1" w:themeTint="BF"/>
            </w:tcBorders>
          </w:tcPr>
          <w:p w14:paraId="5F5F7773" w14:textId="7938813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6C76557C" w14:textId="5F4BDC3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33</w:t>
            </w:r>
          </w:p>
        </w:tc>
        <w:tc>
          <w:tcPr>
            <w:tcW w:w="900" w:type="dxa"/>
            <w:tcBorders>
              <w:left w:val="single" w:sz="8" w:space="0" w:color="7BA0CD" w:themeColor="accent1" w:themeTint="BF"/>
            </w:tcBorders>
          </w:tcPr>
          <w:p w14:paraId="12BA66AB" w14:textId="7B57F7F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46</w:t>
            </w:r>
          </w:p>
        </w:tc>
      </w:tr>
      <w:tr w:rsidR="00794210" w:rsidRPr="00A07E93" w14:paraId="75798EEE"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4157BBD" w14:textId="6C6B661C"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738CA91" w14:textId="0133E26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8BFEC65" w14:textId="69EEEFB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33-3051</w:t>
            </w:r>
          </w:p>
        </w:tc>
        <w:tc>
          <w:tcPr>
            <w:tcW w:w="2340" w:type="dxa"/>
            <w:tcBorders>
              <w:left w:val="single" w:sz="8" w:space="0" w:color="7BA0CD" w:themeColor="accent1" w:themeTint="BF"/>
              <w:right w:val="single" w:sz="8" w:space="0" w:color="7BA0CD" w:themeColor="accent1" w:themeTint="BF"/>
            </w:tcBorders>
          </w:tcPr>
          <w:p w14:paraId="75DCE915" w14:textId="719F7FC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Police and Sheriff's Patrol Officers</w:t>
            </w:r>
          </w:p>
        </w:tc>
        <w:tc>
          <w:tcPr>
            <w:tcW w:w="1080" w:type="dxa"/>
            <w:tcBorders>
              <w:left w:val="single" w:sz="8" w:space="0" w:color="7BA0CD" w:themeColor="accent1" w:themeTint="BF"/>
              <w:right w:val="single" w:sz="8" w:space="0" w:color="7BA0CD" w:themeColor="accent1" w:themeTint="BF"/>
            </w:tcBorders>
          </w:tcPr>
          <w:p w14:paraId="36E6B75A" w14:textId="7B08E7F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C14C0C0" w14:textId="13F0C76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49</w:t>
            </w:r>
          </w:p>
        </w:tc>
        <w:tc>
          <w:tcPr>
            <w:tcW w:w="900" w:type="dxa"/>
            <w:tcBorders>
              <w:left w:val="single" w:sz="8" w:space="0" w:color="7BA0CD" w:themeColor="accent1" w:themeTint="BF"/>
            </w:tcBorders>
          </w:tcPr>
          <w:p w14:paraId="53336369" w14:textId="6FC1D55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66</w:t>
            </w:r>
          </w:p>
        </w:tc>
      </w:tr>
      <w:tr w:rsidR="00794210" w:rsidRPr="00A07E93" w14:paraId="62C8B5EE"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36D2DDB" w14:textId="6AD3D7A6"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E850BE5" w14:textId="4429334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12601CB" w14:textId="0556F1F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33-9021</w:t>
            </w:r>
          </w:p>
        </w:tc>
        <w:tc>
          <w:tcPr>
            <w:tcW w:w="2340" w:type="dxa"/>
            <w:tcBorders>
              <w:left w:val="single" w:sz="8" w:space="0" w:color="7BA0CD" w:themeColor="accent1" w:themeTint="BF"/>
              <w:right w:val="single" w:sz="8" w:space="0" w:color="7BA0CD" w:themeColor="accent1" w:themeTint="BF"/>
            </w:tcBorders>
          </w:tcPr>
          <w:p w14:paraId="5A1FAC06" w14:textId="6956975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Private Detectives and Investigators</w:t>
            </w:r>
          </w:p>
        </w:tc>
        <w:tc>
          <w:tcPr>
            <w:tcW w:w="1080" w:type="dxa"/>
            <w:tcBorders>
              <w:left w:val="single" w:sz="8" w:space="0" w:color="7BA0CD" w:themeColor="accent1" w:themeTint="BF"/>
              <w:right w:val="single" w:sz="8" w:space="0" w:color="7BA0CD" w:themeColor="accent1" w:themeTint="BF"/>
            </w:tcBorders>
          </w:tcPr>
          <w:p w14:paraId="0C1755F3" w14:textId="2D072BB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7648F0BD" w14:textId="3FFF775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38</w:t>
            </w:r>
          </w:p>
        </w:tc>
        <w:tc>
          <w:tcPr>
            <w:tcW w:w="900" w:type="dxa"/>
            <w:tcBorders>
              <w:left w:val="single" w:sz="8" w:space="0" w:color="7BA0CD" w:themeColor="accent1" w:themeTint="BF"/>
            </w:tcBorders>
          </w:tcPr>
          <w:p w14:paraId="67487BF8" w14:textId="62E8145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50</w:t>
            </w:r>
          </w:p>
        </w:tc>
      </w:tr>
      <w:tr w:rsidR="00794210" w:rsidRPr="00A07E93" w14:paraId="59D7DCA5"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8F84753" w14:textId="15F50071"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7D50926" w14:textId="7ABDD62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2CCFA61" w14:textId="54F72FB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33-9031</w:t>
            </w:r>
          </w:p>
        </w:tc>
        <w:tc>
          <w:tcPr>
            <w:tcW w:w="2340" w:type="dxa"/>
            <w:tcBorders>
              <w:left w:val="single" w:sz="8" w:space="0" w:color="7BA0CD" w:themeColor="accent1" w:themeTint="BF"/>
              <w:right w:val="single" w:sz="8" w:space="0" w:color="7BA0CD" w:themeColor="accent1" w:themeTint="BF"/>
            </w:tcBorders>
          </w:tcPr>
          <w:p w14:paraId="4CAE3394" w14:textId="52A47C6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Gaming Surveillance Officers and Gaming Investigators</w:t>
            </w:r>
          </w:p>
        </w:tc>
        <w:tc>
          <w:tcPr>
            <w:tcW w:w="1080" w:type="dxa"/>
            <w:tcBorders>
              <w:left w:val="single" w:sz="8" w:space="0" w:color="7BA0CD" w:themeColor="accent1" w:themeTint="BF"/>
              <w:right w:val="single" w:sz="8" w:space="0" w:color="7BA0CD" w:themeColor="accent1" w:themeTint="BF"/>
            </w:tcBorders>
          </w:tcPr>
          <w:p w14:paraId="51FD9486" w14:textId="04454D3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0.97</w:t>
            </w:r>
          </w:p>
        </w:tc>
        <w:tc>
          <w:tcPr>
            <w:tcW w:w="900" w:type="dxa"/>
            <w:tcBorders>
              <w:left w:val="single" w:sz="8" w:space="0" w:color="7BA0CD" w:themeColor="accent1" w:themeTint="BF"/>
              <w:right w:val="single" w:sz="8" w:space="0" w:color="7BA0CD" w:themeColor="accent1" w:themeTint="BF"/>
            </w:tcBorders>
          </w:tcPr>
          <w:p w14:paraId="0837B7C4" w14:textId="67DB690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74</w:t>
            </w:r>
          </w:p>
        </w:tc>
        <w:tc>
          <w:tcPr>
            <w:tcW w:w="900" w:type="dxa"/>
            <w:tcBorders>
              <w:left w:val="single" w:sz="8" w:space="0" w:color="7BA0CD" w:themeColor="accent1" w:themeTint="BF"/>
            </w:tcBorders>
          </w:tcPr>
          <w:p w14:paraId="5C91A0EF" w14:textId="0EE8CDF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84</w:t>
            </w:r>
          </w:p>
        </w:tc>
      </w:tr>
      <w:tr w:rsidR="00794210" w:rsidRPr="00A07E93" w14:paraId="63F218D1"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9388E64" w14:textId="742CFA43" w:rsidR="00794210" w:rsidRPr="004F20A7" w:rsidRDefault="00794210" w:rsidP="00CF4D11">
            <w:pPr>
              <w:pStyle w:val="Tablenormalleft"/>
              <w:keepNext w:val="0"/>
              <w:widowControl w:val="0"/>
              <w:jc w:val="left"/>
              <w:rPr>
                <w:rFonts w:eastAsiaTheme="minorHAnsi"/>
                <w:szCs w:val="18"/>
              </w:rPr>
            </w:pPr>
            <w:r w:rsidRPr="00A304D0">
              <w:t>45.0101</w:t>
            </w:r>
          </w:p>
        </w:tc>
        <w:tc>
          <w:tcPr>
            <w:tcW w:w="2340" w:type="dxa"/>
            <w:tcBorders>
              <w:left w:val="single" w:sz="8" w:space="0" w:color="7BA0CD" w:themeColor="accent1" w:themeTint="BF"/>
              <w:right w:val="single" w:sz="8" w:space="0" w:color="7BA0CD" w:themeColor="accent1" w:themeTint="BF"/>
            </w:tcBorders>
          </w:tcPr>
          <w:p w14:paraId="19BB741D" w14:textId="503D6DE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Social Sciences, General</w:t>
            </w:r>
          </w:p>
        </w:tc>
        <w:tc>
          <w:tcPr>
            <w:tcW w:w="900" w:type="dxa"/>
            <w:tcBorders>
              <w:left w:val="single" w:sz="8" w:space="0" w:color="7BA0CD" w:themeColor="accent1" w:themeTint="BF"/>
              <w:right w:val="single" w:sz="8" w:space="0" w:color="7BA0CD" w:themeColor="accent1" w:themeTint="BF"/>
            </w:tcBorders>
          </w:tcPr>
          <w:p w14:paraId="47623196" w14:textId="69B7362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19-3099</w:t>
            </w:r>
          </w:p>
        </w:tc>
        <w:tc>
          <w:tcPr>
            <w:tcW w:w="2340" w:type="dxa"/>
            <w:tcBorders>
              <w:left w:val="single" w:sz="8" w:space="0" w:color="7BA0CD" w:themeColor="accent1" w:themeTint="BF"/>
              <w:right w:val="single" w:sz="8" w:space="0" w:color="7BA0CD" w:themeColor="accent1" w:themeTint="BF"/>
            </w:tcBorders>
          </w:tcPr>
          <w:p w14:paraId="1D15120C" w14:textId="369BD3F0"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Social Scientists and Related Workers, All Other</w:t>
            </w:r>
          </w:p>
        </w:tc>
        <w:tc>
          <w:tcPr>
            <w:tcW w:w="1080" w:type="dxa"/>
            <w:tcBorders>
              <w:left w:val="single" w:sz="8" w:space="0" w:color="7BA0CD" w:themeColor="accent1" w:themeTint="BF"/>
              <w:right w:val="single" w:sz="8" w:space="0" w:color="7BA0CD" w:themeColor="accent1" w:themeTint="BF"/>
            </w:tcBorders>
          </w:tcPr>
          <w:p w14:paraId="4C6225EF" w14:textId="0FFE581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0.80</w:t>
            </w:r>
          </w:p>
        </w:tc>
        <w:tc>
          <w:tcPr>
            <w:tcW w:w="900" w:type="dxa"/>
            <w:tcBorders>
              <w:left w:val="single" w:sz="8" w:space="0" w:color="7BA0CD" w:themeColor="accent1" w:themeTint="BF"/>
              <w:right w:val="single" w:sz="8" w:space="0" w:color="7BA0CD" w:themeColor="accent1" w:themeTint="BF"/>
            </w:tcBorders>
          </w:tcPr>
          <w:p w14:paraId="6C5617EA" w14:textId="6535F69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6</w:t>
            </w:r>
          </w:p>
        </w:tc>
        <w:tc>
          <w:tcPr>
            <w:tcW w:w="900" w:type="dxa"/>
            <w:tcBorders>
              <w:left w:val="single" w:sz="8" w:space="0" w:color="7BA0CD" w:themeColor="accent1" w:themeTint="BF"/>
            </w:tcBorders>
          </w:tcPr>
          <w:p w14:paraId="3DE060E5" w14:textId="33CFBE0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10</w:t>
            </w:r>
          </w:p>
        </w:tc>
      </w:tr>
      <w:tr w:rsidR="00794210" w:rsidRPr="00A07E93" w14:paraId="531F9F41"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9AEEBC8" w14:textId="309558E1"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6983A0A" w14:textId="70E825C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8F75811" w14:textId="22EF352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19-4061</w:t>
            </w:r>
          </w:p>
        </w:tc>
        <w:tc>
          <w:tcPr>
            <w:tcW w:w="2340" w:type="dxa"/>
            <w:tcBorders>
              <w:left w:val="single" w:sz="8" w:space="0" w:color="7BA0CD" w:themeColor="accent1" w:themeTint="BF"/>
              <w:right w:val="single" w:sz="8" w:space="0" w:color="7BA0CD" w:themeColor="accent1" w:themeTint="BF"/>
            </w:tcBorders>
          </w:tcPr>
          <w:p w14:paraId="03FA5421" w14:textId="061509B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 xml:space="preserve">Social Science </w:t>
            </w:r>
            <w:r w:rsidR="006C38C7" w:rsidRPr="005A427B">
              <w:t>Resea</w:t>
            </w:r>
            <w:r w:rsidR="006C38C7">
              <w:t>rch</w:t>
            </w:r>
            <w:r w:rsidRPr="005A427B">
              <w:t xml:space="preserve"> Assistants</w:t>
            </w:r>
          </w:p>
        </w:tc>
        <w:tc>
          <w:tcPr>
            <w:tcW w:w="1080" w:type="dxa"/>
            <w:tcBorders>
              <w:left w:val="single" w:sz="8" w:space="0" w:color="7BA0CD" w:themeColor="accent1" w:themeTint="BF"/>
              <w:right w:val="single" w:sz="8" w:space="0" w:color="7BA0CD" w:themeColor="accent1" w:themeTint="BF"/>
            </w:tcBorders>
          </w:tcPr>
          <w:p w14:paraId="357A2232" w14:textId="5265883D"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297EB873" w14:textId="5493230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42</w:t>
            </w:r>
          </w:p>
        </w:tc>
        <w:tc>
          <w:tcPr>
            <w:tcW w:w="900" w:type="dxa"/>
            <w:tcBorders>
              <w:left w:val="single" w:sz="8" w:space="0" w:color="7BA0CD" w:themeColor="accent1" w:themeTint="BF"/>
            </w:tcBorders>
          </w:tcPr>
          <w:p w14:paraId="7D76D6E9" w14:textId="2EE7145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54</w:t>
            </w:r>
          </w:p>
        </w:tc>
      </w:tr>
      <w:tr w:rsidR="00794210" w:rsidRPr="00A07E93" w14:paraId="0278D3B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F2D6F21" w14:textId="1A39B741" w:rsidR="00794210" w:rsidRPr="004F20A7" w:rsidRDefault="00794210" w:rsidP="00CF4D11">
            <w:pPr>
              <w:pStyle w:val="Tablenormalleft"/>
              <w:keepNext w:val="0"/>
              <w:widowControl w:val="0"/>
              <w:jc w:val="left"/>
              <w:rPr>
                <w:rFonts w:eastAsiaTheme="minorHAnsi"/>
                <w:szCs w:val="18"/>
              </w:rPr>
            </w:pPr>
            <w:r w:rsidRPr="00A304D0">
              <w:t>47.0608</w:t>
            </w:r>
          </w:p>
        </w:tc>
        <w:tc>
          <w:tcPr>
            <w:tcW w:w="2340" w:type="dxa"/>
            <w:tcBorders>
              <w:left w:val="single" w:sz="8" w:space="0" w:color="7BA0CD" w:themeColor="accent1" w:themeTint="BF"/>
              <w:right w:val="single" w:sz="8" w:space="0" w:color="7BA0CD" w:themeColor="accent1" w:themeTint="BF"/>
            </w:tcBorders>
          </w:tcPr>
          <w:p w14:paraId="0D0D421F" w14:textId="50E803CA" w:rsidR="00794210" w:rsidRPr="004F20A7" w:rsidRDefault="006C38C7"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Ai</w:t>
            </w:r>
            <w:r>
              <w:t>rcr</w:t>
            </w:r>
            <w:r w:rsidRPr="00A304D0">
              <w:t>aft</w:t>
            </w:r>
            <w:r w:rsidR="00794210" w:rsidRPr="00A304D0">
              <w:t xml:space="preserve"> Powerplant Technology/Technician</w:t>
            </w:r>
          </w:p>
        </w:tc>
        <w:tc>
          <w:tcPr>
            <w:tcW w:w="900" w:type="dxa"/>
            <w:tcBorders>
              <w:left w:val="single" w:sz="8" w:space="0" w:color="7BA0CD" w:themeColor="accent1" w:themeTint="BF"/>
              <w:right w:val="single" w:sz="8" w:space="0" w:color="7BA0CD" w:themeColor="accent1" w:themeTint="BF"/>
            </w:tcBorders>
          </w:tcPr>
          <w:p w14:paraId="50AE5FC6" w14:textId="1347977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49-3011</w:t>
            </w:r>
          </w:p>
        </w:tc>
        <w:tc>
          <w:tcPr>
            <w:tcW w:w="2340" w:type="dxa"/>
            <w:tcBorders>
              <w:left w:val="single" w:sz="8" w:space="0" w:color="7BA0CD" w:themeColor="accent1" w:themeTint="BF"/>
              <w:right w:val="single" w:sz="8" w:space="0" w:color="7BA0CD" w:themeColor="accent1" w:themeTint="BF"/>
            </w:tcBorders>
          </w:tcPr>
          <w:p w14:paraId="4C9D17D4" w14:textId="3575BE74" w:rsidR="00794210" w:rsidRPr="004F20A7" w:rsidRDefault="006C38C7"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Ai</w:t>
            </w:r>
            <w:r>
              <w:t>rcr</w:t>
            </w:r>
            <w:r w:rsidRPr="005A427B">
              <w:t>aft</w:t>
            </w:r>
            <w:r w:rsidR="00794210" w:rsidRPr="005A427B">
              <w:t xml:space="preserve"> Mechanics and Service Technicians</w:t>
            </w:r>
          </w:p>
        </w:tc>
        <w:tc>
          <w:tcPr>
            <w:tcW w:w="1080" w:type="dxa"/>
            <w:tcBorders>
              <w:left w:val="single" w:sz="8" w:space="0" w:color="7BA0CD" w:themeColor="accent1" w:themeTint="BF"/>
              <w:right w:val="single" w:sz="8" w:space="0" w:color="7BA0CD" w:themeColor="accent1" w:themeTint="BF"/>
            </w:tcBorders>
          </w:tcPr>
          <w:p w14:paraId="41A8053E" w14:textId="28155E5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0.29</w:t>
            </w:r>
          </w:p>
        </w:tc>
        <w:tc>
          <w:tcPr>
            <w:tcW w:w="900" w:type="dxa"/>
            <w:tcBorders>
              <w:left w:val="single" w:sz="8" w:space="0" w:color="7BA0CD" w:themeColor="accent1" w:themeTint="BF"/>
              <w:right w:val="single" w:sz="8" w:space="0" w:color="7BA0CD" w:themeColor="accent1" w:themeTint="BF"/>
            </w:tcBorders>
          </w:tcPr>
          <w:p w14:paraId="65DE0492" w14:textId="09BA9B5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69</w:t>
            </w:r>
          </w:p>
        </w:tc>
        <w:tc>
          <w:tcPr>
            <w:tcW w:w="900" w:type="dxa"/>
            <w:tcBorders>
              <w:left w:val="single" w:sz="8" w:space="0" w:color="7BA0CD" w:themeColor="accent1" w:themeTint="BF"/>
            </w:tcBorders>
          </w:tcPr>
          <w:p w14:paraId="11624835" w14:textId="335E58E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90</w:t>
            </w:r>
          </w:p>
        </w:tc>
      </w:tr>
      <w:tr w:rsidR="00794210" w:rsidRPr="00A07E93" w14:paraId="28ACEA2C"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05E4793" w14:textId="7AAFB3C0"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BECD288" w14:textId="46010F7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7558D09" w14:textId="142C9F5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51-2011</w:t>
            </w:r>
          </w:p>
        </w:tc>
        <w:tc>
          <w:tcPr>
            <w:tcW w:w="2340" w:type="dxa"/>
            <w:tcBorders>
              <w:left w:val="single" w:sz="8" w:space="0" w:color="7BA0CD" w:themeColor="accent1" w:themeTint="BF"/>
              <w:right w:val="single" w:sz="8" w:space="0" w:color="7BA0CD" w:themeColor="accent1" w:themeTint="BF"/>
            </w:tcBorders>
          </w:tcPr>
          <w:p w14:paraId="2810862F" w14:textId="3E44429B" w:rsidR="00794210" w:rsidRPr="004F20A7" w:rsidRDefault="006C38C7"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Ai</w:t>
            </w:r>
            <w:r>
              <w:t>rcr</w:t>
            </w:r>
            <w:r w:rsidRPr="005A427B">
              <w:t>aft</w:t>
            </w:r>
            <w:r w:rsidR="00794210" w:rsidRPr="005A427B">
              <w:t xml:space="preserve"> Structure, Surfaces, Rigging, and Systems Assemblers</w:t>
            </w:r>
          </w:p>
        </w:tc>
        <w:tc>
          <w:tcPr>
            <w:tcW w:w="1080" w:type="dxa"/>
            <w:tcBorders>
              <w:left w:val="single" w:sz="8" w:space="0" w:color="7BA0CD" w:themeColor="accent1" w:themeTint="BF"/>
              <w:right w:val="single" w:sz="8" w:space="0" w:color="7BA0CD" w:themeColor="accent1" w:themeTint="BF"/>
            </w:tcBorders>
          </w:tcPr>
          <w:p w14:paraId="1CF892EA" w14:textId="27BAF1C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0.34</w:t>
            </w:r>
          </w:p>
        </w:tc>
        <w:tc>
          <w:tcPr>
            <w:tcW w:w="900" w:type="dxa"/>
            <w:tcBorders>
              <w:left w:val="single" w:sz="8" w:space="0" w:color="7BA0CD" w:themeColor="accent1" w:themeTint="BF"/>
              <w:right w:val="single" w:sz="8" w:space="0" w:color="7BA0CD" w:themeColor="accent1" w:themeTint="BF"/>
            </w:tcBorders>
          </w:tcPr>
          <w:p w14:paraId="0728ECAF" w14:textId="2846346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85</w:t>
            </w:r>
          </w:p>
        </w:tc>
        <w:tc>
          <w:tcPr>
            <w:tcW w:w="900" w:type="dxa"/>
            <w:tcBorders>
              <w:left w:val="single" w:sz="8" w:space="0" w:color="7BA0CD" w:themeColor="accent1" w:themeTint="BF"/>
            </w:tcBorders>
          </w:tcPr>
          <w:p w14:paraId="480CA89A" w14:textId="005E472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93</w:t>
            </w:r>
          </w:p>
        </w:tc>
      </w:tr>
      <w:tr w:rsidR="00794210" w:rsidRPr="00A07E93" w14:paraId="7470BC31"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CA065BE" w14:textId="4E7EE3AF" w:rsidR="00794210" w:rsidRPr="004F20A7" w:rsidRDefault="00794210" w:rsidP="00CF4D11">
            <w:pPr>
              <w:pStyle w:val="Tablenormalleft"/>
              <w:keepNext w:val="0"/>
              <w:widowControl w:val="0"/>
              <w:jc w:val="left"/>
              <w:rPr>
                <w:rFonts w:eastAsiaTheme="minorHAnsi"/>
                <w:szCs w:val="18"/>
              </w:rPr>
            </w:pPr>
            <w:r w:rsidRPr="00A304D0">
              <w:t>48.0501</w:t>
            </w:r>
          </w:p>
        </w:tc>
        <w:tc>
          <w:tcPr>
            <w:tcW w:w="2340" w:type="dxa"/>
            <w:tcBorders>
              <w:left w:val="single" w:sz="8" w:space="0" w:color="7BA0CD" w:themeColor="accent1" w:themeTint="BF"/>
              <w:right w:val="single" w:sz="8" w:space="0" w:color="7BA0CD" w:themeColor="accent1" w:themeTint="BF"/>
            </w:tcBorders>
          </w:tcPr>
          <w:p w14:paraId="006BCFA4" w14:textId="71C7F12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Machine Tool Technology/Machinist</w:t>
            </w:r>
          </w:p>
        </w:tc>
        <w:tc>
          <w:tcPr>
            <w:tcW w:w="900" w:type="dxa"/>
            <w:tcBorders>
              <w:left w:val="single" w:sz="8" w:space="0" w:color="7BA0CD" w:themeColor="accent1" w:themeTint="BF"/>
              <w:right w:val="single" w:sz="8" w:space="0" w:color="7BA0CD" w:themeColor="accent1" w:themeTint="BF"/>
            </w:tcBorders>
          </w:tcPr>
          <w:p w14:paraId="43098119" w14:textId="00C08D3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51-4021</w:t>
            </w:r>
          </w:p>
        </w:tc>
        <w:tc>
          <w:tcPr>
            <w:tcW w:w="2340" w:type="dxa"/>
            <w:tcBorders>
              <w:left w:val="single" w:sz="8" w:space="0" w:color="7BA0CD" w:themeColor="accent1" w:themeTint="BF"/>
              <w:right w:val="single" w:sz="8" w:space="0" w:color="7BA0CD" w:themeColor="accent1" w:themeTint="BF"/>
            </w:tcBorders>
          </w:tcPr>
          <w:p w14:paraId="5EAA709A" w14:textId="013A6B7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Extruding and Drawing Machine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4BAEA50D" w14:textId="1AC2AE4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05FECD27" w14:textId="5FD0A17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90</w:t>
            </w:r>
          </w:p>
        </w:tc>
        <w:tc>
          <w:tcPr>
            <w:tcW w:w="900" w:type="dxa"/>
            <w:tcBorders>
              <w:left w:val="single" w:sz="8" w:space="0" w:color="7BA0CD" w:themeColor="accent1" w:themeTint="BF"/>
            </w:tcBorders>
          </w:tcPr>
          <w:p w14:paraId="1B10F416" w14:textId="065BD2C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96</w:t>
            </w:r>
          </w:p>
        </w:tc>
      </w:tr>
      <w:tr w:rsidR="00794210" w:rsidRPr="00A07E93" w14:paraId="77470C2C"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3F09997" w14:textId="6108D786"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040FE03" w14:textId="79D1DC9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85D8FDC" w14:textId="5B8BE70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51-4022</w:t>
            </w:r>
          </w:p>
        </w:tc>
        <w:tc>
          <w:tcPr>
            <w:tcW w:w="2340" w:type="dxa"/>
            <w:tcBorders>
              <w:left w:val="single" w:sz="8" w:space="0" w:color="7BA0CD" w:themeColor="accent1" w:themeTint="BF"/>
              <w:right w:val="single" w:sz="8" w:space="0" w:color="7BA0CD" w:themeColor="accent1" w:themeTint="BF"/>
            </w:tcBorders>
          </w:tcPr>
          <w:p w14:paraId="7864AB6F" w14:textId="284A1D2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Forging Machine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4911AA39" w14:textId="40B3199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5BC31EF" w14:textId="58290A6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89</w:t>
            </w:r>
          </w:p>
        </w:tc>
        <w:tc>
          <w:tcPr>
            <w:tcW w:w="900" w:type="dxa"/>
            <w:tcBorders>
              <w:left w:val="single" w:sz="8" w:space="0" w:color="7BA0CD" w:themeColor="accent1" w:themeTint="BF"/>
            </w:tcBorders>
          </w:tcPr>
          <w:p w14:paraId="5FD486DF" w14:textId="2021C7E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96</w:t>
            </w:r>
          </w:p>
        </w:tc>
      </w:tr>
      <w:tr w:rsidR="00794210" w:rsidRPr="00A07E93" w14:paraId="15691A1A"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BAAFB27" w14:textId="68E1B060"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971FB14" w14:textId="4AEC850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4BA2E78" w14:textId="4178B5AD"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51-4023</w:t>
            </w:r>
          </w:p>
        </w:tc>
        <w:tc>
          <w:tcPr>
            <w:tcW w:w="2340" w:type="dxa"/>
            <w:tcBorders>
              <w:left w:val="single" w:sz="8" w:space="0" w:color="7BA0CD" w:themeColor="accent1" w:themeTint="BF"/>
              <w:right w:val="single" w:sz="8" w:space="0" w:color="7BA0CD" w:themeColor="accent1" w:themeTint="BF"/>
            </w:tcBorders>
          </w:tcPr>
          <w:p w14:paraId="05958345" w14:textId="4BD1480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 xml:space="preserve">Rolling Machine Setters, </w:t>
            </w:r>
            <w:r w:rsidRPr="005A427B">
              <w:lastRenderedPageBreak/>
              <w:t>Operators, and Tenders, Metal and Plastic</w:t>
            </w:r>
          </w:p>
        </w:tc>
        <w:tc>
          <w:tcPr>
            <w:tcW w:w="1080" w:type="dxa"/>
            <w:tcBorders>
              <w:left w:val="single" w:sz="8" w:space="0" w:color="7BA0CD" w:themeColor="accent1" w:themeTint="BF"/>
              <w:right w:val="single" w:sz="8" w:space="0" w:color="7BA0CD" w:themeColor="accent1" w:themeTint="BF"/>
            </w:tcBorders>
          </w:tcPr>
          <w:p w14:paraId="53D9A117" w14:textId="5CFD324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lastRenderedPageBreak/>
              <w:t>1.00</w:t>
            </w:r>
          </w:p>
        </w:tc>
        <w:tc>
          <w:tcPr>
            <w:tcW w:w="900" w:type="dxa"/>
            <w:tcBorders>
              <w:left w:val="single" w:sz="8" w:space="0" w:color="7BA0CD" w:themeColor="accent1" w:themeTint="BF"/>
              <w:right w:val="single" w:sz="8" w:space="0" w:color="7BA0CD" w:themeColor="accent1" w:themeTint="BF"/>
            </w:tcBorders>
          </w:tcPr>
          <w:p w14:paraId="5F05E3F1" w14:textId="2E28611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95</w:t>
            </w:r>
          </w:p>
        </w:tc>
        <w:tc>
          <w:tcPr>
            <w:tcW w:w="900" w:type="dxa"/>
            <w:tcBorders>
              <w:left w:val="single" w:sz="8" w:space="0" w:color="7BA0CD" w:themeColor="accent1" w:themeTint="BF"/>
            </w:tcBorders>
          </w:tcPr>
          <w:p w14:paraId="000686AC" w14:textId="24CFE57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98</w:t>
            </w:r>
          </w:p>
        </w:tc>
      </w:tr>
      <w:tr w:rsidR="00794210" w:rsidRPr="00A07E93" w14:paraId="7CEA65E0"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C1B11F6" w14:textId="5521E4C0"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58D12E8" w14:textId="21AF23C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01B1E62" w14:textId="62B7656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51-4031</w:t>
            </w:r>
          </w:p>
        </w:tc>
        <w:tc>
          <w:tcPr>
            <w:tcW w:w="2340" w:type="dxa"/>
            <w:tcBorders>
              <w:left w:val="single" w:sz="8" w:space="0" w:color="7BA0CD" w:themeColor="accent1" w:themeTint="BF"/>
              <w:right w:val="single" w:sz="8" w:space="0" w:color="7BA0CD" w:themeColor="accent1" w:themeTint="BF"/>
            </w:tcBorders>
          </w:tcPr>
          <w:p w14:paraId="2B694FBF" w14:textId="6F9F042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Cutting, Punching, and Press Machine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02252A6F" w14:textId="2B5438C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66D9903B" w14:textId="76F7F32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94</w:t>
            </w:r>
          </w:p>
        </w:tc>
        <w:tc>
          <w:tcPr>
            <w:tcW w:w="900" w:type="dxa"/>
            <w:tcBorders>
              <w:left w:val="single" w:sz="8" w:space="0" w:color="7BA0CD" w:themeColor="accent1" w:themeTint="BF"/>
            </w:tcBorders>
          </w:tcPr>
          <w:p w14:paraId="437F1235" w14:textId="0503840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98</w:t>
            </w:r>
          </w:p>
        </w:tc>
      </w:tr>
      <w:tr w:rsidR="00794210" w:rsidRPr="00A07E93" w14:paraId="0723EB70"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7532E6C" w14:textId="4D9C179D"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D28BC3A" w14:textId="3464C41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EC9D27C" w14:textId="231E673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51-4032</w:t>
            </w:r>
          </w:p>
        </w:tc>
        <w:tc>
          <w:tcPr>
            <w:tcW w:w="2340" w:type="dxa"/>
            <w:tcBorders>
              <w:left w:val="single" w:sz="8" w:space="0" w:color="7BA0CD" w:themeColor="accent1" w:themeTint="BF"/>
              <w:right w:val="single" w:sz="8" w:space="0" w:color="7BA0CD" w:themeColor="accent1" w:themeTint="BF"/>
            </w:tcBorders>
          </w:tcPr>
          <w:p w14:paraId="1F9CE1F3" w14:textId="7A58DA2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Drilling and Boring Machine Tool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6094E757" w14:textId="23641FA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B7BDA0F" w14:textId="59CD7CC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88</w:t>
            </w:r>
          </w:p>
        </w:tc>
        <w:tc>
          <w:tcPr>
            <w:tcW w:w="900" w:type="dxa"/>
            <w:tcBorders>
              <w:left w:val="single" w:sz="8" w:space="0" w:color="7BA0CD" w:themeColor="accent1" w:themeTint="BF"/>
            </w:tcBorders>
          </w:tcPr>
          <w:p w14:paraId="6969490A" w14:textId="0AC3191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98</w:t>
            </w:r>
          </w:p>
        </w:tc>
      </w:tr>
      <w:tr w:rsidR="00794210" w:rsidRPr="00A07E93" w14:paraId="2528118C"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80BE342" w14:textId="1013BCE1"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B1A1DF6" w14:textId="52809D4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3FC4F0B" w14:textId="0DBB024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51-4033</w:t>
            </w:r>
          </w:p>
        </w:tc>
        <w:tc>
          <w:tcPr>
            <w:tcW w:w="2340" w:type="dxa"/>
            <w:tcBorders>
              <w:left w:val="single" w:sz="8" w:space="0" w:color="7BA0CD" w:themeColor="accent1" w:themeTint="BF"/>
              <w:right w:val="single" w:sz="8" w:space="0" w:color="7BA0CD" w:themeColor="accent1" w:themeTint="BF"/>
            </w:tcBorders>
          </w:tcPr>
          <w:p w14:paraId="41712952" w14:textId="24C64CE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Grinding, Lapping, Polishing, and Buffing Machine Tool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2D4AFDD7" w14:textId="77EFB21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30F8ECC9" w14:textId="4DBECD1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92</w:t>
            </w:r>
          </w:p>
        </w:tc>
        <w:tc>
          <w:tcPr>
            <w:tcW w:w="900" w:type="dxa"/>
            <w:tcBorders>
              <w:left w:val="single" w:sz="8" w:space="0" w:color="7BA0CD" w:themeColor="accent1" w:themeTint="BF"/>
            </w:tcBorders>
          </w:tcPr>
          <w:p w14:paraId="58A0A007" w14:textId="0D8817F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97</w:t>
            </w:r>
          </w:p>
        </w:tc>
      </w:tr>
      <w:tr w:rsidR="00794210" w:rsidRPr="00A07E93" w14:paraId="5C5E0F4D"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D35FC02" w14:textId="4A00AA7A"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B118B87" w14:textId="019B546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B2299BB" w14:textId="2C82D2E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51-4034</w:t>
            </w:r>
          </w:p>
        </w:tc>
        <w:tc>
          <w:tcPr>
            <w:tcW w:w="2340" w:type="dxa"/>
            <w:tcBorders>
              <w:left w:val="single" w:sz="8" w:space="0" w:color="7BA0CD" w:themeColor="accent1" w:themeTint="BF"/>
              <w:right w:val="single" w:sz="8" w:space="0" w:color="7BA0CD" w:themeColor="accent1" w:themeTint="BF"/>
            </w:tcBorders>
          </w:tcPr>
          <w:p w14:paraId="19704CC3" w14:textId="375B202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5A427B">
              <w:t>Lathe and Turning Machine Tool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043DA6AA" w14:textId="33AF01A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C2F88B8" w14:textId="0EF9862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89</w:t>
            </w:r>
          </w:p>
        </w:tc>
        <w:tc>
          <w:tcPr>
            <w:tcW w:w="900" w:type="dxa"/>
            <w:tcBorders>
              <w:left w:val="single" w:sz="8" w:space="0" w:color="7BA0CD" w:themeColor="accent1" w:themeTint="BF"/>
            </w:tcBorders>
          </w:tcPr>
          <w:p w14:paraId="569CE730" w14:textId="446DFAC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eastAsiaTheme="minorHAnsi" w:cs="Arial"/>
                <w:szCs w:val="18"/>
              </w:rPr>
            </w:pPr>
            <w:r w:rsidRPr="005A427B">
              <w:t>95</w:t>
            </w:r>
          </w:p>
        </w:tc>
      </w:tr>
      <w:tr w:rsidR="00794210" w:rsidRPr="00A07E93" w14:paraId="4DD15F8D"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F7DE846" w14:textId="388CE8FE" w:rsidR="00794210" w:rsidRPr="004F20A7" w:rsidRDefault="00794210" w:rsidP="00CF4D11">
            <w:pPr>
              <w:pStyle w:val="Tablenormalleft"/>
              <w:keepNext w:val="0"/>
              <w:widowControl w:val="0"/>
              <w:jc w:val="left"/>
              <w:rPr>
                <w:rFonts w:eastAsiaTheme="minorHAnsi"/>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C447D1A" w14:textId="10AF3A4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A8026B6" w14:textId="341924E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51-4035</w:t>
            </w:r>
          </w:p>
        </w:tc>
        <w:tc>
          <w:tcPr>
            <w:tcW w:w="2340" w:type="dxa"/>
            <w:tcBorders>
              <w:left w:val="single" w:sz="8" w:space="0" w:color="7BA0CD" w:themeColor="accent1" w:themeTint="BF"/>
              <w:right w:val="single" w:sz="8" w:space="0" w:color="7BA0CD" w:themeColor="accent1" w:themeTint="BF"/>
            </w:tcBorders>
          </w:tcPr>
          <w:p w14:paraId="1159ECE9" w14:textId="35C5A8E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5A427B">
              <w:t>Milling and Planing Machine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41E2637D" w14:textId="6378E12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250F78C5" w14:textId="0531699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91</w:t>
            </w:r>
          </w:p>
        </w:tc>
        <w:tc>
          <w:tcPr>
            <w:tcW w:w="900" w:type="dxa"/>
            <w:tcBorders>
              <w:left w:val="single" w:sz="8" w:space="0" w:color="7BA0CD" w:themeColor="accent1" w:themeTint="BF"/>
            </w:tcBorders>
          </w:tcPr>
          <w:p w14:paraId="5D98E68C" w14:textId="0898144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eastAsiaTheme="minorHAnsi" w:cs="Arial"/>
                <w:szCs w:val="18"/>
              </w:rPr>
            </w:pPr>
            <w:r w:rsidRPr="005A427B">
              <w:t>96</w:t>
            </w:r>
          </w:p>
        </w:tc>
      </w:tr>
      <w:tr w:rsidR="00794210" w:rsidRPr="00A07E93" w14:paraId="11711461"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71A23A8" w14:textId="385824A3"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0D6A73E" w14:textId="2B9E5D40"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5DACCBE" w14:textId="69435AF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51-4041</w:t>
            </w:r>
          </w:p>
        </w:tc>
        <w:tc>
          <w:tcPr>
            <w:tcW w:w="2340" w:type="dxa"/>
            <w:tcBorders>
              <w:left w:val="single" w:sz="8" w:space="0" w:color="7BA0CD" w:themeColor="accent1" w:themeTint="BF"/>
              <w:right w:val="single" w:sz="8" w:space="0" w:color="7BA0CD" w:themeColor="accent1" w:themeTint="BF"/>
            </w:tcBorders>
          </w:tcPr>
          <w:p w14:paraId="25ED58FC" w14:textId="152EE1B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Machinists</w:t>
            </w:r>
          </w:p>
        </w:tc>
        <w:tc>
          <w:tcPr>
            <w:tcW w:w="1080" w:type="dxa"/>
            <w:tcBorders>
              <w:left w:val="single" w:sz="8" w:space="0" w:color="7BA0CD" w:themeColor="accent1" w:themeTint="BF"/>
              <w:right w:val="single" w:sz="8" w:space="0" w:color="7BA0CD" w:themeColor="accent1" w:themeTint="BF"/>
            </w:tcBorders>
          </w:tcPr>
          <w:p w14:paraId="1D7B8BB9" w14:textId="7B33227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27ABF952" w14:textId="0103E3F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86</w:t>
            </w:r>
          </w:p>
        </w:tc>
        <w:tc>
          <w:tcPr>
            <w:tcW w:w="900" w:type="dxa"/>
            <w:tcBorders>
              <w:left w:val="single" w:sz="8" w:space="0" w:color="7BA0CD" w:themeColor="accent1" w:themeTint="BF"/>
            </w:tcBorders>
          </w:tcPr>
          <w:p w14:paraId="0B8892B6" w14:textId="494D775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97</w:t>
            </w:r>
          </w:p>
        </w:tc>
      </w:tr>
      <w:tr w:rsidR="00794210" w:rsidRPr="00A07E93" w14:paraId="0B94C088"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D93A9EF" w14:textId="53597D66"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4EB17C1" w14:textId="67A65A5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9FB3077" w14:textId="4045739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51-4081</w:t>
            </w:r>
          </w:p>
        </w:tc>
        <w:tc>
          <w:tcPr>
            <w:tcW w:w="2340" w:type="dxa"/>
            <w:tcBorders>
              <w:left w:val="single" w:sz="8" w:space="0" w:color="7BA0CD" w:themeColor="accent1" w:themeTint="BF"/>
              <w:right w:val="single" w:sz="8" w:space="0" w:color="7BA0CD" w:themeColor="accent1" w:themeTint="BF"/>
            </w:tcBorders>
          </w:tcPr>
          <w:p w14:paraId="247F078B" w14:textId="62B2807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Multiple Machine Tool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38512FD2" w14:textId="65E7D3E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1DA45A57" w14:textId="14DC71D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91</w:t>
            </w:r>
          </w:p>
        </w:tc>
        <w:tc>
          <w:tcPr>
            <w:tcW w:w="900" w:type="dxa"/>
            <w:tcBorders>
              <w:left w:val="single" w:sz="8" w:space="0" w:color="7BA0CD" w:themeColor="accent1" w:themeTint="BF"/>
            </w:tcBorders>
          </w:tcPr>
          <w:p w14:paraId="452A8748" w14:textId="43A522C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96</w:t>
            </w:r>
          </w:p>
        </w:tc>
      </w:tr>
      <w:tr w:rsidR="00794210" w:rsidRPr="00A07E93" w14:paraId="2C57132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A1157B1" w14:textId="44600AD5"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65DEDCD" w14:textId="2E26CC9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C78BCC6" w14:textId="29D24BA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51-4191</w:t>
            </w:r>
          </w:p>
        </w:tc>
        <w:tc>
          <w:tcPr>
            <w:tcW w:w="2340" w:type="dxa"/>
            <w:tcBorders>
              <w:left w:val="single" w:sz="8" w:space="0" w:color="7BA0CD" w:themeColor="accent1" w:themeTint="BF"/>
              <w:right w:val="single" w:sz="8" w:space="0" w:color="7BA0CD" w:themeColor="accent1" w:themeTint="BF"/>
            </w:tcBorders>
          </w:tcPr>
          <w:p w14:paraId="0EEEAF9B" w14:textId="1281D4F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Heat Treating Equipment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75D37F35" w14:textId="1704F42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DC41368" w14:textId="535B4AF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90</w:t>
            </w:r>
          </w:p>
        </w:tc>
        <w:tc>
          <w:tcPr>
            <w:tcW w:w="900" w:type="dxa"/>
            <w:tcBorders>
              <w:left w:val="single" w:sz="8" w:space="0" w:color="7BA0CD" w:themeColor="accent1" w:themeTint="BF"/>
            </w:tcBorders>
          </w:tcPr>
          <w:p w14:paraId="7629600F" w14:textId="4D8B724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94</w:t>
            </w:r>
          </w:p>
        </w:tc>
      </w:tr>
      <w:tr w:rsidR="00794210" w:rsidRPr="00A07E93" w14:paraId="17D89808"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746161C" w14:textId="44D07FBB"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6CADE1A" w14:textId="4151EF1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FB7728C" w14:textId="39F4A2A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51-4192</w:t>
            </w:r>
          </w:p>
        </w:tc>
        <w:tc>
          <w:tcPr>
            <w:tcW w:w="2340" w:type="dxa"/>
            <w:tcBorders>
              <w:left w:val="single" w:sz="8" w:space="0" w:color="7BA0CD" w:themeColor="accent1" w:themeTint="BF"/>
              <w:right w:val="single" w:sz="8" w:space="0" w:color="7BA0CD" w:themeColor="accent1" w:themeTint="BF"/>
            </w:tcBorders>
          </w:tcPr>
          <w:p w14:paraId="1BB23C4E" w14:textId="6C3DCF9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Layout Workers, Metal and Plastic</w:t>
            </w:r>
          </w:p>
        </w:tc>
        <w:tc>
          <w:tcPr>
            <w:tcW w:w="1080" w:type="dxa"/>
            <w:tcBorders>
              <w:left w:val="single" w:sz="8" w:space="0" w:color="7BA0CD" w:themeColor="accent1" w:themeTint="BF"/>
              <w:right w:val="single" w:sz="8" w:space="0" w:color="7BA0CD" w:themeColor="accent1" w:themeTint="BF"/>
            </w:tcBorders>
          </w:tcPr>
          <w:p w14:paraId="1FC02ED7" w14:textId="7AEC29C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2AD1B1EB" w14:textId="26DC044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91</w:t>
            </w:r>
          </w:p>
        </w:tc>
        <w:tc>
          <w:tcPr>
            <w:tcW w:w="900" w:type="dxa"/>
            <w:tcBorders>
              <w:left w:val="single" w:sz="8" w:space="0" w:color="7BA0CD" w:themeColor="accent1" w:themeTint="BF"/>
            </w:tcBorders>
          </w:tcPr>
          <w:p w14:paraId="49A3469C" w14:textId="789C46B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96</w:t>
            </w:r>
          </w:p>
        </w:tc>
      </w:tr>
      <w:tr w:rsidR="00794210" w:rsidRPr="00A07E93" w14:paraId="7A9C729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6970E33" w14:textId="4FFBA6D9"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C086C34" w14:textId="2A062E2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A2BF124" w14:textId="5D5AC79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51-4193</w:t>
            </w:r>
          </w:p>
        </w:tc>
        <w:tc>
          <w:tcPr>
            <w:tcW w:w="2340" w:type="dxa"/>
            <w:tcBorders>
              <w:left w:val="single" w:sz="8" w:space="0" w:color="7BA0CD" w:themeColor="accent1" w:themeTint="BF"/>
              <w:right w:val="single" w:sz="8" w:space="0" w:color="7BA0CD" w:themeColor="accent1" w:themeTint="BF"/>
            </w:tcBorders>
          </w:tcPr>
          <w:p w14:paraId="22CEBB49" w14:textId="7BE0DC5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Plating and Coating Machine Setters, Operators, and Tenders, Metal and Plastic</w:t>
            </w:r>
          </w:p>
        </w:tc>
        <w:tc>
          <w:tcPr>
            <w:tcW w:w="1080" w:type="dxa"/>
            <w:tcBorders>
              <w:left w:val="single" w:sz="8" w:space="0" w:color="7BA0CD" w:themeColor="accent1" w:themeTint="BF"/>
              <w:right w:val="single" w:sz="8" w:space="0" w:color="7BA0CD" w:themeColor="accent1" w:themeTint="BF"/>
            </w:tcBorders>
          </w:tcPr>
          <w:p w14:paraId="6FF3A4C0" w14:textId="4F53ED1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710453A8" w14:textId="6DAFFAA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87</w:t>
            </w:r>
          </w:p>
        </w:tc>
        <w:tc>
          <w:tcPr>
            <w:tcW w:w="900" w:type="dxa"/>
            <w:tcBorders>
              <w:left w:val="single" w:sz="8" w:space="0" w:color="7BA0CD" w:themeColor="accent1" w:themeTint="BF"/>
            </w:tcBorders>
          </w:tcPr>
          <w:p w14:paraId="4E0A4240" w14:textId="046A4F6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94</w:t>
            </w:r>
          </w:p>
        </w:tc>
      </w:tr>
      <w:tr w:rsidR="00794210" w:rsidRPr="00A07E93" w14:paraId="543AAB61"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19277ED" w14:textId="7DAB1692"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B0F6CBA" w14:textId="06AEF6D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9CB0D2A" w14:textId="719851B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51-4199</w:t>
            </w:r>
          </w:p>
        </w:tc>
        <w:tc>
          <w:tcPr>
            <w:tcW w:w="2340" w:type="dxa"/>
            <w:tcBorders>
              <w:left w:val="single" w:sz="8" w:space="0" w:color="7BA0CD" w:themeColor="accent1" w:themeTint="BF"/>
              <w:right w:val="single" w:sz="8" w:space="0" w:color="7BA0CD" w:themeColor="accent1" w:themeTint="BF"/>
            </w:tcBorders>
          </w:tcPr>
          <w:p w14:paraId="0DC4D15D" w14:textId="671E0C2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Metal Workers and Plastic Workers, All Other</w:t>
            </w:r>
          </w:p>
        </w:tc>
        <w:tc>
          <w:tcPr>
            <w:tcW w:w="1080" w:type="dxa"/>
            <w:tcBorders>
              <w:left w:val="single" w:sz="8" w:space="0" w:color="7BA0CD" w:themeColor="accent1" w:themeTint="BF"/>
              <w:right w:val="single" w:sz="8" w:space="0" w:color="7BA0CD" w:themeColor="accent1" w:themeTint="BF"/>
            </w:tcBorders>
          </w:tcPr>
          <w:p w14:paraId="52A08CBD" w14:textId="313B1F0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74441216" w14:textId="6EBF991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91</w:t>
            </w:r>
          </w:p>
        </w:tc>
        <w:tc>
          <w:tcPr>
            <w:tcW w:w="900" w:type="dxa"/>
            <w:tcBorders>
              <w:left w:val="single" w:sz="8" w:space="0" w:color="7BA0CD" w:themeColor="accent1" w:themeTint="BF"/>
            </w:tcBorders>
          </w:tcPr>
          <w:p w14:paraId="7276D79E" w14:textId="5F5A8F4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96</w:t>
            </w:r>
          </w:p>
        </w:tc>
      </w:tr>
      <w:tr w:rsidR="00794210" w:rsidRPr="00A07E93" w14:paraId="3A50B5AD"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158750D" w14:textId="707A6CCC" w:rsidR="00794210" w:rsidRPr="004F20A7" w:rsidRDefault="00794210" w:rsidP="00CF4D11">
            <w:pPr>
              <w:pStyle w:val="Tablenormalleft"/>
              <w:keepNext w:val="0"/>
              <w:widowControl w:val="0"/>
              <w:jc w:val="left"/>
              <w:rPr>
                <w:szCs w:val="18"/>
              </w:rPr>
            </w:pPr>
            <w:r w:rsidRPr="00A304D0">
              <w:t>48.0508</w:t>
            </w:r>
          </w:p>
        </w:tc>
        <w:tc>
          <w:tcPr>
            <w:tcW w:w="2340" w:type="dxa"/>
            <w:tcBorders>
              <w:left w:val="single" w:sz="8" w:space="0" w:color="7BA0CD" w:themeColor="accent1" w:themeTint="BF"/>
              <w:right w:val="single" w:sz="8" w:space="0" w:color="7BA0CD" w:themeColor="accent1" w:themeTint="BF"/>
            </w:tcBorders>
          </w:tcPr>
          <w:p w14:paraId="098F1C43" w14:textId="33B67B5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Welding Technology/Welder</w:t>
            </w:r>
          </w:p>
        </w:tc>
        <w:tc>
          <w:tcPr>
            <w:tcW w:w="900" w:type="dxa"/>
            <w:tcBorders>
              <w:left w:val="single" w:sz="8" w:space="0" w:color="7BA0CD" w:themeColor="accent1" w:themeTint="BF"/>
              <w:right w:val="single" w:sz="8" w:space="0" w:color="7BA0CD" w:themeColor="accent1" w:themeTint="BF"/>
            </w:tcBorders>
          </w:tcPr>
          <w:p w14:paraId="523BF414" w14:textId="51014F1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51-4121</w:t>
            </w:r>
          </w:p>
        </w:tc>
        <w:tc>
          <w:tcPr>
            <w:tcW w:w="2340" w:type="dxa"/>
            <w:tcBorders>
              <w:left w:val="single" w:sz="8" w:space="0" w:color="7BA0CD" w:themeColor="accent1" w:themeTint="BF"/>
              <w:right w:val="single" w:sz="8" w:space="0" w:color="7BA0CD" w:themeColor="accent1" w:themeTint="BF"/>
            </w:tcBorders>
          </w:tcPr>
          <w:p w14:paraId="610F96E1" w14:textId="4D628DF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Welders, Cutters, Solderers, and Brazers</w:t>
            </w:r>
          </w:p>
        </w:tc>
        <w:tc>
          <w:tcPr>
            <w:tcW w:w="1080" w:type="dxa"/>
            <w:tcBorders>
              <w:left w:val="single" w:sz="8" w:space="0" w:color="7BA0CD" w:themeColor="accent1" w:themeTint="BF"/>
              <w:right w:val="single" w:sz="8" w:space="0" w:color="7BA0CD" w:themeColor="accent1" w:themeTint="BF"/>
            </w:tcBorders>
          </w:tcPr>
          <w:p w14:paraId="2E1C19FE" w14:textId="22BCF22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071E0077" w14:textId="29AFC0A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92</w:t>
            </w:r>
          </w:p>
        </w:tc>
        <w:tc>
          <w:tcPr>
            <w:tcW w:w="900" w:type="dxa"/>
            <w:tcBorders>
              <w:left w:val="single" w:sz="8" w:space="0" w:color="7BA0CD" w:themeColor="accent1" w:themeTint="BF"/>
            </w:tcBorders>
          </w:tcPr>
          <w:p w14:paraId="25048AE2" w14:textId="72AA1EC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98</w:t>
            </w:r>
          </w:p>
        </w:tc>
      </w:tr>
      <w:tr w:rsidR="00794210" w:rsidRPr="00A07E93" w14:paraId="08EBBAA3"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6EDB6D8" w14:textId="61C322CD"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88C4140" w14:textId="25F91BE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7B02AB7" w14:textId="501CDC2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51-4122</w:t>
            </w:r>
          </w:p>
        </w:tc>
        <w:tc>
          <w:tcPr>
            <w:tcW w:w="2340" w:type="dxa"/>
            <w:tcBorders>
              <w:left w:val="single" w:sz="8" w:space="0" w:color="7BA0CD" w:themeColor="accent1" w:themeTint="BF"/>
              <w:right w:val="single" w:sz="8" w:space="0" w:color="7BA0CD" w:themeColor="accent1" w:themeTint="BF"/>
            </w:tcBorders>
          </w:tcPr>
          <w:p w14:paraId="5C6368A0" w14:textId="2BAFE97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Welding, Soldering, and Brazing Machine Setters, Operators, and Tenders</w:t>
            </w:r>
          </w:p>
        </w:tc>
        <w:tc>
          <w:tcPr>
            <w:tcW w:w="1080" w:type="dxa"/>
            <w:tcBorders>
              <w:left w:val="single" w:sz="8" w:space="0" w:color="7BA0CD" w:themeColor="accent1" w:themeTint="BF"/>
              <w:right w:val="single" w:sz="8" w:space="0" w:color="7BA0CD" w:themeColor="accent1" w:themeTint="BF"/>
            </w:tcBorders>
          </w:tcPr>
          <w:p w14:paraId="6CB19A2A" w14:textId="2B379F3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74742781" w14:textId="614C6A3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92</w:t>
            </w:r>
          </w:p>
        </w:tc>
        <w:tc>
          <w:tcPr>
            <w:tcW w:w="900" w:type="dxa"/>
            <w:tcBorders>
              <w:left w:val="single" w:sz="8" w:space="0" w:color="7BA0CD" w:themeColor="accent1" w:themeTint="BF"/>
            </w:tcBorders>
          </w:tcPr>
          <w:p w14:paraId="271C6F6F" w14:textId="20ADD03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98</w:t>
            </w:r>
          </w:p>
        </w:tc>
      </w:tr>
      <w:tr w:rsidR="00794210" w:rsidRPr="00A07E93" w14:paraId="6A97E95C"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C9BD984" w14:textId="7D2BC290" w:rsidR="00794210" w:rsidRPr="004F20A7" w:rsidRDefault="00794210" w:rsidP="00CF4D11">
            <w:pPr>
              <w:pStyle w:val="Tablenormalleft"/>
              <w:keepNext w:val="0"/>
              <w:widowControl w:val="0"/>
              <w:jc w:val="left"/>
              <w:rPr>
                <w:szCs w:val="18"/>
              </w:rPr>
            </w:pPr>
            <w:r w:rsidRPr="00A304D0">
              <w:t>50.0409</w:t>
            </w:r>
          </w:p>
        </w:tc>
        <w:tc>
          <w:tcPr>
            <w:tcW w:w="2340" w:type="dxa"/>
            <w:tcBorders>
              <w:left w:val="single" w:sz="8" w:space="0" w:color="7BA0CD" w:themeColor="accent1" w:themeTint="BF"/>
              <w:right w:val="single" w:sz="8" w:space="0" w:color="7BA0CD" w:themeColor="accent1" w:themeTint="BF"/>
            </w:tcBorders>
          </w:tcPr>
          <w:p w14:paraId="51F44929" w14:textId="68CE174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Graphic Design</w:t>
            </w:r>
          </w:p>
        </w:tc>
        <w:tc>
          <w:tcPr>
            <w:tcW w:w="900" w:type="dxa"/>
            <w:tcBorders>
              <w:left w:val="single" w:sz="8" w:space="0" w:color="7BA0CD" w:themeColor="accent1" w:themeTint="BF"/>
              <w:right w:val="single" w:sz="8" w:space="0" w:color="7BA0CD" w:themeColor="accent1" w:themeTint="BF"/>
            </w:tcBorders>
          </w:tcPr>
          <w:p w14:paraId="23A78A2E" w14:textId="58EA423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27-1011</w:t>
            </w:r>
          </w:p>
        </w:tc>
        <w:tc>
          <w:tcPr>
            <w:tcW w:w="2340" w:type="dxa"/>
            <w:tcBorders>
              <w:left w:val="single" w:sz="8" w:space="0" w:color="7BA0CD" w:themeColor="accent1" w:themeTint="BF"/>
              <w:right w:val="single" w:sz="8" w:space="0" w:color="7BA0CD" w:themeColor="accent1" w:themeTint="BF"/>
            </w:tcBorders>
          </w:tcPr>
          <w:p w14:paraId="6D6CC9D8" w14:textId="7DF6B3A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Art Directors</w:t>
            </w:r>
          </w:p>
        </w:tc>
        <w:tc>
          <w:tcPr>
            <w:tcW w:w="1080" w:type="dxa"/>
            <w:tcBorders>
              <w:left w:val="single" w:sz="8" w:space="0" w:color="7BA0CD" w:themeColor="accent1" w:themeTint="BF"/>
              <w:right w:val="single" w:sz="8" w:space="0" w:color="7BA0CD" w:themeColor="accent1" w:themeTint="BF"/>
            </w:tcBorders>
          </w:tcPr>
          <w:p w14:paraId="01885A16" w14:textId="3D9A789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66F49FC8" w14:textId="105C470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34</w:t>
            </w:r>
          </w:p>
        </w:tc>
        <w:tc>
          <w:tcPr>
            <w:tcW w:w="900" w:type="dxa"/>
            <w:tcBorders>
              <w:left w:val="single" w:sz="8" w:space="0" w:color="7BA0CD" w:themeColor="accent1" w:themeTint="BF"/>
            </w:tcBorders>
          </w:tcPr>
          <w:p w14:paraId="51A2B8C9" w14:textId="414FB57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43</w:t>
            </w:r>
          </w:p>
        </w:tc>
      </w:tr>
      <w:tr w:rsidR="00794210" w:rsidRPr="00A07E93" w14:paraId="517E31EF"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EE446BF" w14:textId="03833007"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67AFF81" w14:textId="6473333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7A8C3EA" w14:textId="279D025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27-1014</w:t>
            </w:r>
          </w:p>
        </w:tc>
        <w:tc>
          <w:tcPr>
            <w:tcW w:w="2340" w:type="dxa"/>
            <w:tcBorders>
              <w:left w:val="single" w:sz="8" w:space="0" w:color="7BA0CD" w:themeColor="accent1" w:themeTint="BF"/>
              <w:right w:val="single" w:sz="8" w:space="0" w:color="7BA0CD" w:themeColor="accent1" w:themeTint="BF"/>
            </w:tcBorders>
          </w:tcPr>
          <w:p w14:paraId="2070CFDC" w14:textId="363B417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Multimedia Artists and Animators</w:t>
            </w:r>
          </w:p>
        </w:tc>
        <w:tc>
          <w:tcPr>
            <w:tcW w:w="1080" w:type="dxa"/>
            <w:tcBorders>
              <w:left w:val="single" w:sz="8" w:space="0" w:color="7BA0CD" w:themeColor="accent1" w:themeTint="BF"/>
              <w:right w:val="single" w:sz="8" w:space="0" w:color="7BA0CD" w:themeColor="accent1" w:themeTint="BF"/>
            </w:tcBorders>
          </w:tcPr>
          <w:p w14:paraId="22E2FB52" w14:textId="6D24122D"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0.30</w:t>
            </w:r>
          </w:p>
        </w:tc>
        <w:tc>
          <w:tcPr>
            <w:tcW w:w="900" w:type="dxa"/>
            <w:tcBorders>
              <w:left w:val="single" w:sz="8" w:space="0" w:color="7BA0CD" w:themeColor="accent1" w:themeTint="BF"/>
              <w:right w:val="single" w:sz="8" w:space="0" w:color="7BA0CD" w:themeColor="accent1" w:themeTint="BF"/>
            </w:tcBorders>
          </w:tcPr>
          <w:p w14:paraId="78D04ECE" w14:textId="1E57EF6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34</w:t>
            </w:r>
          </w:p>
        </w:tc>
        <w:tc>
          <w:tcPr>
            <w:tcW w:w="900" w:type="dxa"/>
            <w:tcBorders>
              <w:left w:val="single" w:sz="8" w:space="0" w:color="7BA0CD" w:themeColor="accent1" w:themeTint="BF"/>
            </w:tcBorders>
          </w:tcPr>
          <w:p w14:paraId="6A6C22C1" w14:textId="3782B83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43</w:t>
            </w:r>
          </w:p>
        </w:tc>
      </w:tr>
      <w:tr w:rsidR="00794210" w:rsidRPr="00A07E93" w14:paraId="1C0A81CE"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74546A1" w14:textId="7E2827EA"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7B3840C" w14:textId="6A96477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CDDC056" w14:textId="681237B0"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27-1019</w:t>
            </w:r>
          </w:p>
        </w:tc>
        <w:tc>
          <w:tcPr>
            <w:tcW w:w="2340" w:type="dxa"/>
            <w:tcBorders>
              <w:left w:val="single" w:sz="8" w:space="0" w:color="7BA0CD" w:themeColor="accent1" w:themeTint="BF"/>
              <w:right w:val="single" w:sz="8" w:space="0" w:color="7BA0CD" w:themeColor="accent1" w:themeTint="BF"/>
            </w:tcBorders>
          </w:tcPr>
          <w:p w14:paraId="12288660" w14:textId="0223AA4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Artists and Related Workers, All Other</w:t>
            </w:r>
          </w:p>
        </w:tc>
        <w:tc>
          <w:tcPr>
            <w:tcW w:w="1080" w:type="dxa"/>
            <w:tcBorders>
              <w:left w:val="single" w:sz="8" w:space="0" w:color="7BA0CD" w:themeColor="accent1" w:themeTint="BF"/>
              <w:right w:val="single" w:sz="8" w:space="0" w:color="7BA0CD" w:themeColor="accent1" w:themeTint="BF"/>
            </w:tcBorders>
          </w:tcPr>
          <w:p w14:paraId="37B7D057" w14:textId="464B2C3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0.96</w:t>
            </w:r>
          </w:p>
        </w:tc>
        <w:tc>
          <w:tcPr>
            <w:tcW w:w="900" w:type="dxa"/>
            <w:tcBorders>
              <w:left w:val="single" w:sz="8" w:space="0" w:color="7BA0CD" w:themeColor="accent1" w:themeTint="BF"/>
              <w:right w:val="single" w:sz="8" w:space="0" w:color="7BA0CD" w:themeColor="accent1" w:themeTint="BF"/>
            </w:tcBorders>
          </w:tcPr>
          <w:p w14:paraId="21C06DAD" w14:textId="0ED117E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34</w:t>
            </w:r>
          </w:p>
        </w:tc>
        <w:tc>
          <w:tcPr>
            <w:tcW w:w="900" w:type="dxa"/>
            <w:tcBorders>
              <w:left w:val="single" w:sz="8" w:space="0" w:color="7BA0CD" w:themeColor="accent1" w:themeTint="BF"/>
            </w:tcBorders>
          </w:tcPr>
          <w:p w14:paraId="6E3C580B" w14:textId="33124D4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43</w:t>
            </w:r>
          </w:p>
        </w:tc>
      </w:tr>
      <w:tr w:rsidR="00794210" w:rsidRPr="00A07E93" w14:paraId="0A98E2E7"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806EC7E" w14:textId="0A701E5B"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CAB664E" w14:textId="358D51F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6809195" w14:textId="1F3C7CE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27-1024</w:t>
            </w:r>
          </w:p>
        </w:tc>
        <w:tc>
          <w:tcPr>
            <w:tcW w:w="2340" w:type="dxa"/>
            <w:tcBorders>
              <w:left w:val="single" w:sz="8" w:space="0" w:color="7BA0CD" w:themeColor="accent1" w:themeTint="BF"/>
              <w:right w:val="single" w:sz="8" w:space="0" w:color="7BA0CD" w:themeColor="accent1" w:themeTint="BF"/>
            </w:tcBorders>
          </w:tcPr>
          <w:p w14:paraId="4D5DD366" w14:textId="29ADECD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Graphic Designers</w:t>
            </w:r>
          </w:p>
        </w:tc>
        <w:tc>
          <w:tcPr>
            <w:tcW w:w="1080" w:type="dxa"/>
            <w:tcBorders>
              <w:left w:val="single" w:sz="8" w:space="0" w:color="7BA0CD" w:themeColor="accent1" w:themeTint="BF"/>
              <w:right w:val="single" w:sz="8" w:space="0" w:color="7BA0CD" w:themeColor="accent1" w:themeTint="BF"/>
            </w:tcBorders>
          </w:tcPr>
          <w:p w14:paraId="2383DAD4" w14:textId="633EE7C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0.32</w:t>
            </w:r>
          </w:p>
        </w:tc>
        <w:tc>
          <w:tcPr>
            <w:tcW w:w="900" w:type="dxa"/>
            <w:tcBorders>
              <w:left w:val="single" w:sz="8" w:space="0" w:color="7BA0CD" w:themeColor="accent1" w:themeTint="BF"/>
              <w:right w:val="single" w:sz="8" w:space="0" w:color="7BA0CD" w:themeColor="accent1" w:themeTint="BF"/>
            </w:tcBorders>
          </w:tcPr>
          <w:p w14:paraId="146ECAA3" w14:textId="14E94E2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31</w:t>
            </w:r>
          </w:p>
        </w:tc>
        <w:tc>
          <w:tcPr>
            <w:tcW w:w="900" w:type="dxa"/>
            <w:tcBorders>
              <w:left w:val="single" w:sz="8" w:space="0" w:color="7BA0CD" w:themeColor="accent1" w:themeTint="BF"/>
            </w:tcBorders>
          </w:tcPr>
          <w:p w14:paraId="79609DF6" w14:textId="1951BDF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44</w:t>
            </w:r>
          </w:p>
        </w:tc>
      </w:tr>
      <w:tr w:rsidR="00794210" w:rsidRPr="00A07E93" w14:paraId="1119605E"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7B8FA27" w14:textId="51E70E9B"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E618DAD" w14:textId="2AFC41E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F84E1B8" w14:textId="300C653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51-9123</w:t>
            </w:r>
          </w:p>
        </w:tc>
        <w:tc>
          <w:tcPr>
            <w:tcW w:w="2340" w:type="dxa"/>
            <w:tcBorders>
              <w:left w:val="single" w:sz="8" w:space="0" w:color="7BA0CD" w:themeColor="accent1" w:themeTint="BF"/>
              <w:right w:val="single" w:sz="8" w:space="0" w:color="7BA0CD" w:themeColor="accent1" w:themeTint="BF"/>
            </w:tcBorders>
          </w:tcPr>
          <w:p w14:paraId="47D40857" w14:textId="279B327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Painting, Coating, and Decorating Workers</w:t>
            </w:r>
          </w:p>
        </w:tc>
        <w:tc>
          <w:tcPr>
            <w:tcW w:w="1080" w:type="dxa"/>
            <w:tcBorders>
              <w:left w:val="single" w:sz="8" w:space="0" w:color="7BA0CD" w:themeColor="accent1" w:themeTint="BF"/>
              <w:right w:val="single" w:sz="8" w:space="0" w:color="7BA0CD" w:themeColor="accent1" w:themeTint="BF"/>
            </w:tcBorders>
          </w:tcPr>
          <w:p w14:paraId="2C50C9CC" w14:textId="7B3BB88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325A68EF" w14:textId="6310B7F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93</w:t>
            </w:r>
          </w:p>
        </w:tc>
        <w:tc>
          <w:tcPr>
            <w:tcW w:w="900" w:type="dxa"/>
            <w:tcBorders>
              <w:left w:val="single" w:sz="8" w:space="0" w:color="7BA0CD" w:themeColor="accent1" w:themeTint="BF"/>
            </w:tcBorders>
          </w:tcPr>
          <w:p w14:paraId="517859C9" w14:textId="7FF44D3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97</w:t>
            </w:r>
          </w:p>
        </w:tc>
      </w:tr>
      <w:tr w:rsidR="00794210" w:rsidRPr="00A07E93" w14:paraId="0D3645ED"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E0A7DBD" w14:textId="102FE61B" w:rsidR="00794210" w:rsidRPr="004F20A7" w:rsidRDefault="00794210" w:rsidP="00CF4D11">
            <w:pPr>
              <w:pStyle w:val="Tablenormalleft"/>
              <w:keepNext w:val="0"/>
              <w:widowControl w:val="0"/>
              <w:jc w:val="left"/>
              <w:rPr>
                <w:szCs w:val="18"/>
              </w:rPr>
            </w:pPr>
            <w:r w:rsidRPr="00A304D0">
              <w:t>50.0708</w:t>
            </w:r>
          </w:p>
        </w:tc>
        <w:tc>
          <w:tcPr>
            <w:tcW w:w="2340" w:type="dxa"/>
            <w:tcBorders>
              <w:left w:val="single" w:sz="8" w:space="0" w:color="7BA0CD" w:themeColor="accent1" w:themeTint="BF"/>
              <w:right w:val="single" w:sz="8" w:space="0" w:color="7BA0CD" w:themeColor="accent1" w:themeTint="BF"/>
            </w:tcBorders>
          </w:tcPr>
          <w:p w14:paraId="638692BA" w14:textId="1B2CC17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Painting</w:t>
            </w:r>
          </w:p>
        </w:tc>
        <w:tc>
          <w:tcPr>
            <w:tcW w:w="900" w:type="dxa"/>
            <w:tcBorders>
              <w:left w:val="single" w:sz="8" w:space="0" w:color="7BA0CD" w:themeColor="accent1" w:themeTint="BF"/>
              <w:right w:val="single" w:sz="8" w:space="0" w:color="7BA0CD" w:themeColor="accent1" w:themeTint="BF"/>
            </w:tcBorders>
          </w:tcPr>
          <w:p w14:paraId="3CB7C5F5" w14:textId="4514E9D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27-1012</w:t>
            </w:r>
          </w:p>
        </w:tc>
        <w:tc>
          <w:tcPr>
            <w:tcW w:w="2340" w:type="dxa"/>
            <w:tcBorders>
              <w:left w:val="single" w:sz="8" w:space="0" w:color="7BA0CD" w:themeColor="accent1" w:themeTint="BF"/>
              <w:right w:val="single" w:sz="8" w:space="0" w:color="7BA0CD" w:themeColor="accent1" w:themeTint="BF"/>
            </w:tcBorders>
          </w:tcPr>
          <w:p w14:paraId="7132206B" w14:textId="4DBD779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Craft Artists</w:t>
            </w:r>
          </w:p>
        </w:tc>
        <w:tc>
          <w:tcPr>
            <w:tcW w:w="1080" w:type="dxa"/>
            <w:tcBorders>
              <w:left w:val="single" w:sz="8" w:space="0" w:color="7BA0CD" w:themeColor="accent1" w:themeTint="BF"/>
              <w:right w:val="single" w:sz="8" w:space="0" w:color="7BA0CD" w:themeColor="accent1" w:themeTint="BF"/>
            </w:tcBorders>
          </w:tcPr>
          <w:p w14:paraId="2B128F99" w14:textId="5189EFF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0.10</w:t>
            </w:r>
          </w:p>
        </w:tc>
        <w:tc>
          <w:tcPr>
            <w:tcW w:w="900" w:type="dxa"/>
            <w:tcBorders>
              <w:left w:val="single" w:sz="8" w:space="0" w:color="7BA0CD" w:themeColor="accent1" w:themeTint="BF"/>
              <w:right w:val="single" w:sz="8" w:space="0" w:color="7BA0CD" w:themeColor="accent1" w:themeTint="BF"/>
            </w:tcBorders>
          </w:tcPr>
          <w:p w14:paraId="021BBBA0" w14:textId="180E382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34</w:t>
            </w:r>
          </w:p>
        </w:tc>
        <w:tc>
          <w:tcPr>
            <w:tcW w:w="900" w:type="dxa"/>
            <w:tcBorders>
              <w:left w:val="single" w:sz="8" w:space="0" w:color="7BA0CD" w:themeColor="accent1" w:themeTint="BF"/>
            </w:tcBorders>
          </w:tcPr>
          <w:p w14:paraId="7CF990D5" w14:textId="58FDE58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43</w:t>
            </w:r>
          </w:p>
        </w:tc>
      </w:tr>
      <w:tr w:rsidR="00794210" w:rsidRPr="00A07E93" w14:paraId="1B746F7D"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55F9E84" w14:textId="55141E60"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051022C" w14:textId="0A001FF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ECD321E" w14:textId="1148FF1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27-1013</w:t>
            </w:r>
          </w:p>
        </w:tc>
        <w:tc>
          <w:tcPr>
            <w:tcW w:w="2340" w:type="dxa"/>
            <w:tcBorders>
              <w:left w:val="single" w:sz="8" w:space="0" w:color="7BA0CD" w:themeColor="accent1" w:themeTint="BF"/>
              <w:right w:val="single" w:sz="8" w:space="0" w:color="7BA0CD" w:themeColor="accent1" w:themeTint="BF"/>
            </w:tcBorders>
          </w:tcPr>
          <w:p w14:paraId="31088476" w14:textId="7E43500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Fine Artists, Including Painters, Sculptors, and Illustrators</w:t>
            </w:r>
          </w:p>
        </w:tc>
        <w:tc>
          <w:tcPr>
            <w:tcW w:w="1080" w:type="dxa"/>
            <w:tcBorders>
              <w:left w:val="single" w:sz="8" w:space="0" w:color="7BA0CD" w:themeColor="accent1" w:themeTint="BF"/>
              <w:right w:val="single" w:sz="8" w:space="0" w:color="7BA0CD" w:themeColor="accent1" w:themeTint="BF"/>
            </w:tcBorders>
          </w:tcPr>
          <w:p w14:paraId="2ECE7B5C" w14:textId="78B663C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0.10</w:t>
            </w:r>
          </w:p>
        </w:tc>
        <w:tc>
          <w:tcPr>
            <w:tcW w:w="900" w:type="dxa"/>
            <w:tcBorders>
              <w:left w:val="single" w:sz="8" w:space="0" w:color="7BA0CD" w:themeColor="accent1" w:themeTint="BF"/>
              <w:right w:val="single" w:sz="8" w:space="0" w:color="7BA0CD" w:themeColor="accent1" w:themeTint="BF"/>
            </w:tcBorders>
          </w:tcPr>
          <w:p w14:paraId="425F3FC1" w14:textId="1B6215B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34</w:t>
            </w:r>
          </w:p>
        </w:tc>
        <w:tc>
          <w:tcPr>
            <w:tcW w:w="900" w:type="dxa"/>
            <w:tcBorders>
              <w:left w:val="single" w:sz="8" w:space="0" w:color="7BA0CD" w:themeColor="accent1" w:themeTint="BF"/>
            </w:tcBorders>
          </w:tcPr>
          <w:p w14:paraId="5B1DA5F4" w14:textId="0BC0F70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43</w:t>
            </w:r>
          </w:p>
        </w:tc>
      </w:tr>
      <w:tr w:rsidR="00794210" w:rsidRPr="00A07E93" w14:paraId="61CF09AA"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CB438E8" w14:textId="7A3956F6"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8F7EABB" w14:textId="54E1AC3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9F4E898" w14:textId="4E69CA9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27-1014</w:t>
            </w:r>
          </w:p>
        </w:tc>
        <w:tc>
          <w:tcPr>
            <w:tcW w:w="2340" w:type="dxa"/>
            <w:tcBorders>
              <w:left w:val="single" w:sz="8" w:space="0" w:color="7BA0CD" w:themeColor="accent1" w:themeTint="BF"/>
              <w:right w:val="single" w:sz="8" w:space="0" w:color="7BA0CD" w:themeColor="accent1" w:themeTint="BF"/>
            </w:tcBorders>
          </w:tcPr>
          <w:p w14:paraId="138BCED6" w14:textId="44433E9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Multimedia Artists and Animators</w:t>
            </w:r>
          </w:p>
        </w:tc>
        <w:tc>
          <w:tcPr>
            <w:tcW w:w="1080" w:type="dxa"/>
            <w:tcBorders>
              <w:left w:val="single" w:sz="8" w:space="0" w:color="7BA0CD" w:themeColor="accent1" w:themeTint="BF"/>
              <w:right w:val="single" w:sz="8" w:space="0" w:color="7BA0CD" w:themeColor="accent1" w:themeTint="BF"/>
            </w:tcBorders>
          </w:tcPr>
          <w:p w14:paraId="758AA362" w14:textId="2FD15BE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0.13</w:t>
            </w:r>
          </w:p>
        </w:tc>
        <w:tc>
          <w:tcPr>
            <w:tcW w:w="900" w:type="dxa"/>
            <w:tcBorders>
              <w:left w:val="single" w:sz="8" w:space="0" w:color="7BA0CD" w:themeColor="accent1" w:themeTint="BF"/>
              <w:right w:val="single" w:sz="8" w:space="0" w:color="7BA0CD" w:themeColor="accent1" w:themeTint="BF"/>
            </w:tcBorders>
          </w:tcPr>
          <w:p w14:paraId="62AAD6EB" w14:textId="14D31A3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34</w:t>
            </w:r>
          </w:p>
        </w:tc>
        <w:tc>
          <w:tcPr>
            <w:tcW w:w="900" w:type="dxa"/>
            <w:tcBorders>
              <w:left w:val="single" w:sz="8" w:space="0" w:color="7BA0CD" w:themeColor="accent1" w:themeTint="BF"/>
            </w:tcBorders>
          </w:tcPr>
          <w:p w14:paraId="4F03DA00" w14:textId="095C8BA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43</w:t>
            </w:r>
          </w:p>
        </w:tc>
      </w:tr>
      <w:tr w:rsidR="00794210" w:rsidRPr="00A07E93" w14:paraId="7B9297E0"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7779695" w14:textId="197F7CD6" w:rsidR="00794210" w:rsidRPr="004F20A7" w:rsidRDefault="00794210" w:rsidP="00CF4D11">
            <w:pPr>
              <w:pStyle w:val="Tablenormalleft"/>
              <w:keepNext w:val="0"/>
              <w:widowControl w:val="0"/>
              <w:jc w:val="left"/>
              <w:rPr>
                <w:szCs w:val="18"/>
              </w:rPr>
            </w:pPr>
            <w:r w:rsidRPr="00A304D0">
              <w:t>50.0709</w:t>
            </w:r>
          </w:p>
        </w:tc>
        <w:tc>
          <w:tcPr>
            <w:tcW w:w="2340" w:type="dxa"/>
            <w:tcBorders>
              <w:left w:val="single" w:sz="8" w:space="0" w:color="7BA0CD" w:themeColor="accent1" w:themeTint="BF"/>
              <w:right w:val="single" w:sz="8" w:space="0" w:color="7BA0CD" w:themeColor="accent1" w:themeTint="BF"/>
            </w:tcBorders>
          </w:tcPr>
          <w:p w14:paraId="11D87ABE" w14:textId="4B90B11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Sculpture</w:t>
            </w:r>
          </w:p>
        </w:tc>
        <w:tc>
          <w:tcPr>
            <w:tcW w:w="900" w:type="dxa"/>
            <w:tcBorders>
              <w:left w:val="single" w:sz="8" w:space="0" w:color="7BA0CD" w:themeColor="accent1" w:themeTint="BF"/>
              <w:right w:val="single" w:sz="8" w:space="0" w:color="7BA0CD" w:themeColor="accent1" w:themeTint="BF"/>
            </w:tcBorders>
          </w:tcPr>
          <w:p w14:paraId="38E98FBC" w14:textId="65DB512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27-1012</w:t>
            </w:r>
          </w:p>
        </w:tc>
        <w:tc>
          <w:tcPr>
            <w:tcW w:w="2340" w:type="dxa"/>
            <w:tcBorders>
              <w:left w:val="single" w:sz="8" w:space="0" w:color="7BA0CD" w:themeColor="accent1" w:themeTint="BF"/>
              <w:right w:val="single" w:sz="8" w:space="0" w:color="7BA0CD" w:themeColor="accent1" w:themeTint="BF"/>
            </w:tcBorders>
          </w:tcPr>
          <w:p w14:paraId="733BE86D" w14:textId="2C68B81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Craft Artists</w:t>
            </w:r>
          </w:p>
        </w:tc>
        <w:tc>
          <w:tcPr>
            <w:tcW w:w="1080" w:type="dxa"/>
            <w:tcBorders>
              <w:left w:val="single" w:sz="8" w:space="0" w:color="7BA0CD" w:themeColor="accent1" w:themeTint="BF"/>
              <w:right w:val="single" w:sz="8" w:space="0" w:color="7BA0CD" w:themeColor="accent1" w:themeTint="BF"/>
            </w:tcBorders>
          </w:tcPr>
          <w:p w14:paraId="5C50823A" w14:textId="7B6B1F4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17A0C2D0" w14:textId="67BBE85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34</w:t>
            </w:r>
          </w:p>
        </w:tc>
        <w:tc>
          <w:tcPr>
            <w:tcW w:w="900" w:type="dxa"/>
            <w:tcBorders>
              <w:left w:val="single" w:sz="8" w:space="0" w:color="7BA0CD" w:themeColor="accent1" w:themeTint="BF"/>
            </w:tcBorders>
          </w:tcPr>
          <w:p w14:paraId="0D5E73F1" w14:textId="13E279B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43</w:t>
            </w:r>
          </w:p>
        </w:tc>
      </w:tr>
      <w:tr w:rsidR="00794210" w:rsidRPr="00A07E93" w14:paraId="5229D5D7"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83A5D2D" w14:textId="1A51FFF7"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21568E7" w14:textId="5317A7B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A6652CB" w14:textId="1C559A6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27-1013</w:t>
            </w:r>
          </w:p>
        </w:tc>
        <w:tc>
          <w:tcPr>
            <w:tcW w:w="2340" w:type="dxa"/>
            <w:tcBorders>
              <w:left w:val="single" w:sz="8" w:space="0" w:color="7BA0CD" w:themeColor="accent1" w:themeTint="BF"/>
              <w:right w:val="single" w:sz="8" w:space="0" w:color="7BA0CD" w:themeColor="accent1" w:themeTint="BF"/>
            </w:tcBorders>
          </w:tcPr>
          <w:p w14:paraId="6282E64C" w14:textId="57B76A5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Fine Artists, Including Painters, Sculptors, and Illustrators</w:t>
            </w:r>
          </w:p>
        </w:tc>
        <w:tc>
          <w:tcPr>
            <w:tcW w:w="1080" w:type="dxa"/>
            <w:tcBorders>
              <w:left w:val="single" w:sz="8" w:space="0" w:color="7BA0CD" w:themeColor="accent1" w:themeTint="BF"/>
              <w:right w:val="single" w:sz="8" w:space="0" w:color="7BA0CD" w:themeColor="accent1" w:themeTint="BF"/>
            </w:tcBorders>
          </w:tcPr>
          <w:p w14:paraId="52C9E66C" w14:textId="1179EC9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26999DE5" w14:textId="0363755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34</w:t>
            </w:r>
          </w:p>
        </w:tc>
        <w:tc>
          <w:tcPr>
            <w:tcW w:w="900" w:type="dxa"/>
            <w:tcBorders>
              <w:left w:val="single" w:sz="8" w:space="0" w:color="7BA0CD" w:themeColor="accent1" w:themeTint="BF"/>
            </w:tcBorders>
          </w:tcPr>
          <w:p w14:paraId="6E4B19CE" w14:textId="03D5D19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43</w:t>
            </w:r>
          </w:p>
        </w:tc>
      </w:tr>
      <w:tr w:rsidR="00794210" w:rsidRPr="00A07E93" w14:paraId="422637B1"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A32C58F" w14:textId="5CE85B51" w:rsidR="00794210" w:rsidRPr="004F20A7" w:rsidRDefault="00794210" w:rsidP="00CF4D11">
            <w:pPr>
              <w:pStyle w:val="Tablenormalleft"/>
              <w:keepNext w:val="0"/>
              <w:widowControl w:val="0"/>
              <w:jc w:val="left"/>
              <w:rPr>
                <w:szCs w:val="18"/>
              </w:rPr>
            </w:pPr>
            <w:r w:rsidRPr="00A304D0">
              <w:t>51.0716</w:t>
            </w:r>
          </w:p>
        </w:tc>
        <w:tc>
          <w:tcPr>
            <w:tcW w:w="2340" w:type="dxa"/>
            <w:tcBorders>
              <w:left w:val="single" w:sz="8" w:space="0" w:color="7BA0CD" w:themeColor="accent1" w:themeTint="BF"/>
              <w:right w:val="single" w:sz="8" w:space="0" w:color="7BA0CD" w:themeColor="accent1" w:themeTint="BF"/>
            </w:tcBorders>
          </w:tcPr>
          <w:p w14:paraId="48D1CCE0" w14:textId="0CE40C8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Medical Administrative/Executive Assistant and Medical Secretary</w:t>
            </w:r>
          </w:p>
        </w:tc>
        <w:tc>
          <w:tcPr>
            <w:tcW w:w="900" w:type="dxa"/>
            <w:tcBorders>
              <w:left w:val="single" w:sz="8" w:space="0" w:color="7BA0CD" w:themeColor="accent1" w:themeTint="BF"/>
              <w:right w:val="single" w:sz="8" w:space="0" w:color="7BA0CD" w:themeColor="accent1" w:themeTint="BF"/>
            </w:tcBorders>
          </w:tcPr>
          <w:p w14:paraId="33AD9A9F" w14:textId="701F802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31-9092</w:t>
            </w:r>
          </w:p>
        </w:tc>
        <w:tc>
          <w:tcPr>
            <w:tcW w:w="2340" w:type="dxa"/>
            <w:tcBorders>
              <w:left w:val="single" w:sz="8" w:space="0" w:color="7BA0CD" w:themeColor="accent1" w:themeTint="BF"/>
              <w:right w:val="single" w:sz="8" w:space="0" w:color="7BA0CD" w:themeColor="accent1" w:themeTint="BF"/>
            </w:tcBorders>
          </w:tcPr>
          <w:p w14:paraId="26119929" w14:textId="1062DCF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Medical Assistants</w:t>
            </w:r>
          </w:p>
        </w:tc>
        <w:tc>
          <w:tcPr>
            <w:tcW w:w="1080" w:type="dxa"/>
            <w:tcBorders>
              <w:left w:val="single" w:sz="8" w:space="0" w:color="7BA0CD" w:themeColor="accent1" w:themeTint="BF"/>
              <w:right w:val="single" w:sz="8" w:space="0" w:color="7BA0CD" w:themeColor="accent1" w:themeTint="BF"/>
            </w:tcBorders>
          </w:tcPr>
          <w:p w14:paraId="0C2D73BE" w14:textId="02079C6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0.05</w:t>
            </w:r>
          </w:p>
        </w:tc>
        <w:tc>
          <w:tcPr>
            <w:tcW w:w="900" w:type="dxa"/>
            <w:tcBorders>
              <w:left w:val="single" w:sz="8" w:space="0" w:color="7BA0CD" w:themeColor="accent1" w:themeTint="BF"/>
              <w:right w:val="single" w:sz="8" w:space="0" w:color="7BA0CD" w:themeColor="accent1" w:themeTint="BF"/>
            </w:tcBorders>
          </w:tcPr>
          <w:p w14:paraId="46BDFC31" w14:textId="3B231E2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69</w:t>
            </w:r>
          </w:p>
        </w:tc>
        <w:tc>
          <w:tcPr>
            <w:tcW w:w="900" w:type="dxa"/>
            <w:tcBorders>
              <w:left w:val="single" w:sz="8" w:space="0" w:color="7BA0CD" w:themeColor="accent1" w:themeTint="BF"/>
            </w:tcBorders>
          </w:tcPr>
          <w:p w14:paraId="0180B82D" w14:textId="0BEFCE0F"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91</w:t>
            </w:r>
          </w:p>
        </w:tc>
      </w:tr>
      <w:tr w:rsidR="00794210" w:rsidRPr="00A07E93" w14:paraId="206ECF79"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BFAB984" w14:textId="5005D4E9"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CABC601" w14:textId="6075510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4D81863" w14:textId="4650221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43-6011</w:t>
            </w:r>
          </w:p>
        </w:tc>
        <w:tc>
          <w:tcPr>
            <w:tcW w:w="2340" w:type="dxa"/>
            <w:tcBorders>
              <w:left w:val="single" w:sz="8" w:space="0" w:color="7BA0CD" w:themeColor="accent1" w:themeTint="BF"/>
              <w:right w:val="single" w:sz="8" w:space="0" w:color="7BA0CD" w:themeColor="accent1" w:themeTint="BF"/>
            </w:tcBorders>
          </w:tcPr>
          <w:p w14:paraId="512C69C0" w14:textId="1D0C5BA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Executive Secretaries and Executive Administrative Assistants</w:t>
            </w:r>
          </w:p>
        </w:tc>
        <w:tc>
          <w:tcPr>
            <w:tcW w:w="1080" w:type="dxa"/>
            <w:tcBorders>
              <w:left w:val="single" w:sz="8" w:space="0" w:color="7BA0CD" w:themeColor="accent1" w:themeTint="BF"/>
              <w:right w:val="single" w:sz="8" w:space="0" w:color="7BA0CD" w:themeColor="accent1" w:themeTint="BF"/>
            </w:tcBorders>
          </w:tcPr>
          <w:p w14:paraId="2FE1D826" w14:textId="3BF5F26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0.47</w:t>
            </w:r>
          </w:p>
        </w:tc>
        <w:tc>
          <w:tcPr>
            <w:tcW w:w="900" w:type="dxa"/>
            <w:tcBorders>
              <w:left w:val="single" w:sz="8" w:space="0" w:color="7BA0CD" w:themeColor="accent1" w:themeTint="BF"/>
              <w:right w:val="single" w:sz="8" w:space="0" w:color="7BA0CD" w:themeColor="accent1" w:themeTint="BF"/>
            </w:tcBorders>
          </w:tcPr>
          <w:p w14:paraId="062DE4C7" w14:textId="4F5C596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67</w:t>
            </w:r>
          </w:p>
        </w:tc>
        <w:tc>
          <w:tcPr>
            <w:tcW w:w="900" w:type="dxa"/>
            <w:tcBorders>
              <w:left w:val="single" w:sz="8" w:space="0" w:color="7BA0CD" w:themeColor="accent1" w:themeTint="BF"/>
            </w:tcBorders>
          </w:tcPr>
          <w:p w14:paraId="29AE57E6" w14:textId="7B39162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81</w:t>
            </w:r>
          </w:p>
        </w:tc>
      </w:tr>
      <w:tr w:rsidR="00794210" w:rsidRPr="00A07E93" w14:paraId="248F9243"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94D357C" w14:textId="6381625F"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209A698" w14:textId="3EC8EB7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748F92D" w14:textId="6EB41E9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43-6013</w:t>
            </w:r>
          </w:p>
        </w:tc>
        <w:tc>
          <w:tcPr>
            <w:tcW w:w="2340" w:type="dxa"/>
            <w:tcBorders>
              <w:left w:val="single" w:sz="8" w:space="0" w:color="7BA0CD" w:themeColor="accent1" w:themeTint="BF"/>
              <w:right w:val="single" w:sz="8" w:space="0" w:color="7BA0CD" w:themeColor="accent1" w:themeTint="BF"/>
            </w:tcBorders>
          </w:tcPr>
          <w:p w14:paraId="158BF2AA" w14:textId="6CCA7AE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Medical Secretaries</w:t>
            </w:r>
          </w:p>
        </w:tc>
        <w:tc>
          <w:tcPr>
            <w:tcW w:w="1080" w:type="dxa"/>
            <w:tcBorders>
              <w:left w:val="single" w:sz="8" w:space="0" w:color="7BA0CD" w:themeColor="accent1" w:themeTint="BF"/>
              <w:right w:val="single" w:sz="8" w:space="0" w:color="7BA0CD" w:themeColor="accent1" w:themeTint="BF"/>
            </w:tcBorders>
          </w:tcPr>
          <w:p w14:paraId="34E929E4" w14:textId="7E5E531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0.25</w:t>
            </w:r>
          </w:p>
        </w:tc>
        <w:tc>
          <w:tcPr>
            <w:tcW w:w="900" w:type="dxa"/>
            <w:tcBorders>
              <w:left w:val="single" w:sz="8" w:space="0" w:color="7BA0CD" w:themeColor="accent1" w:themeTint="BF"/>
              <w:right w:val="single" w:sz="8" w:space="0" w:color="7BA0CD" w:themeColor="accent1" w:themeTint="BF"/>
            </w:tcBorders>
          </w:tcPr>
          <w:p w14:paraId="6FF8EA44" w14:textId="0C1DC58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67</w:t>
            </w:r>
          </w:p>
        </w:tc>
        <w:tc>
          <w:tcPr>
            <w:tcW w:w="900" w:type="dxa"/>
            <w:tcBorders>
              <w:left w:val="single" w:sz="8" w:space="0" w:color="7BA0CD" w:themeColor="accent1" w:themeTint="BF"/>
            </w:tcBorders>
          </w:tcPr>
          <w:p w14:paraId="3B4015C2" w14:textId="45B6D33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81</w:t>
            </w:r>
          </w:p>
        </w:tc>
      </w:tr>
      <w:tr w:rsidR="00794210" w:rsidRPr="00A07E93" w14:paraId="390AC428"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3AB3B06" w14:textId="17EDBAF7" w:rsidR="00794210" w:rsidRPr="004F20A7" w:rsidRDefault="00794210" w:rsidP="00CF4D11">
            <w:pPr>
              <w:pStyle w:val="Tablenormalleft"/>
              <w:keepNext w:val="0"/>
              <w:widowControl w:val="0"/>
              <w:jc w:val="left"/>
              <w:rPr>
                <w:szCs w:val="18"/>
              </w:rPr>
            </w:pPr>
            <w:r w:rsidRPr="00A304D0">
              <w:t>51.2601</w:t>
            </w:r>
          </w:p>
        </w:tc>
        <w:tc>
          <w:tcPr>
            <w:tcW w:w="2340" w:type="dxa"/>
            <w:tcBorders>
              <w:left w:val="single" w:sz="8" w:space="0" w:color="7BA0CD" w:themeColor="accent1" w:themeTint="BF"/>
              <w:right w:val="single" w:sz="8" w:space="0" w:color="7BA0CD" w:themeColor="accent1" w:themeTint="BF"/>
            </w:tcBorders>
          </w:tcPr>
          <w:p w14:paraId="1B04249B" w14:textId="709A78A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Health Aide</w:t>
            </w:r>
          </w:p>
        </w:tc>
        <w:tc>
          <w:tcPr>
            <w:tcW w:w="900" w:type="dxa"/>
            <w:tcBorders>
              <w:left w:val="single" w:sz="8" w:space="0" w:color="7BA0CD" w:themeColor="accent1" w:themeTint="BF"/>
              <w:right w:val="single" w:sz="8" w:space="0" w:color="7BA0CD" w:themeColor="accent1" w:themeTint="BF"/>
            </w:tcBorders>
          </w:tcPr>
          <w:p w14:paraId="08FD1678" w14:textId="0CFB2EF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31-1013</w:t>
            </w:r>
          </w:p>
        </w:tc>
        <w:tc>
          <w:tcPr>
            <w:tcW w:w="2340" w:type="dxa"/>
            <w:tcBorders>
              <w:left w:val="single" w:sz="8" w:space="0" w:color="7BA0CD" w:themeColor="accent1" w:themeTint="BF"/>
              <w:right w:val="single" w:sz="8" w:space="0" w:color="7BA0CD" w:themeColor="accent1" w:themeTint="BF"/>
            </w:tcBorders>
          </w:tcPr>
          <w:p w14:paraId="7053A9FF" w14:textId="734796A7"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Psychiatric Aides</w:t>
            </w:r>
          </w:p>
        </w:tc>
        <w:tc>
          <w:tcPr>
            <w:tcW w:w="1080" w:type="dxa"/>
            <w:tcBorders>
              <w:left w:val="single" w:sz="8" w:space="0" w:color="7BA0CD" w:themeColor="accent1" w:themeTint="BF"/>
              <w:right w:val="single" w:sz="8" w:space="0" w:color="7BA0CD" w:themeColor="accent1" w:themeTint="BF"/>
            </w:tcBorders>
          </w:tcPr>
          <w:p w14:paraId="54AD8283" w14:textId="61CFC80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0.11</w:t>
            </w:r>
          </w:p>
        </w:tc>
        <w:tc>
          <w:tcPr>
            <w:tcW w:w="900" w:type="dxa"/>
            <w:tcBorders>
              <w:left w:val="single" w:sz="8" w:space="0" w:color="7BA0CD" w:themeColor="accent1" w:themeTint="BF"/>
              <w:right w:val="single" w:sz="8" w:space="0" w:color="7BA0CD" w:themeColor="accent1" w:themeTint="BF"/>
            </w:tcBorders>
          </w:tcPr>
          <w:p w14:paraId="1F74C491" w14:textId="7880115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83</w:t>
            </w:r>
          </w:p>
        </w:tc>
        <w:tc>
          <w:tcPr>
            <w:tcW w:w="900" w:type="dxa"/>
            <w:tcBorders>
              <w:left w:val="single" w:sz="8" w:space="0" w:color="7BA0CD" w:themeColor="accent1" w:themeTint="BF"/>
            </w:tcBorders>
          </w:tcPr>
          <w:p w14:paraId="5DA5B482" w14:textId="2FC8679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91</w:t>
            </w:r>
          </w:p>
        </w:tc>
      </w:tr>
      <w:tr w:rsidR="00794210" w:rsidRPr="00A07E93" w14:paraId="1E1B2785"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DF39D1A" w14:textId="260E09A3"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5DEC07E" w14:textId="74B6C7C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D8B77A4" w14:textId="28E4C8C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31-1014</w:t>
            </w:r>
          </w:p>
        </w:tc>
        <w:tc>
          <w:tcPr>
            <w:tcW w:w="2340" w:type="dxa"/>
            <w:tcBorders>
              <w:left w:val="single" w:sz="8" w:space="0" w:color="7BA0CD" w:themeColor="accent1" w:themeTint="BF"/>
              <w:right w:val="single" w:sz="8" w:space="0" w:color="7BA0CD" w:themeColor="accent1" w:themeTint="BF"/>
            </w:tcBorders>
          </w:tcPr>
          <w:p w14:paraId="1A79AE90" w14:textId="1A2FD81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Nursing Assistants</w:t>
            </w:r>
          </w:p>
        </w:tc>
        <w:tc>
          <w:tcPr>
            <w:tcW w:w="1080" w:type="dxa"/>
            <w:tcBorders>
              <w:left w:val="single" w:sz="8" w:space="0" w:color="7BA0CD" w:themeColor="accent1" w:themeTint="BF"/>
              <w:right w:val="single" w:sz="8" w:space="0" w:color="7BA0CD" w:themeColor="accent1" w:themeTint="BF"/>
            </w:tcBorders>
          </w:tcPr>
          <w:p w14:paraId="492A9803" w14:textId="3C321D6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0.13</w:t>
            </w:r>
          </w:p>
        </w:tc>
        <w:tc>
          <w:tcPr>
            <w:tcW w:w="900" w:type="dxa"/>
            <w:tcBorders>
              <w:left w:val="single" w:sz="8" w:space="0" w:color="7BA0CD" w:themeColor="accent1" w:themeTint="BF"/>
              <w:right w:val="single" w:sz="8" w:space="0" w:color="7BA0CD" w:themeColor="accent1" w:themeTint="BF"/>
            </w:tcBorders>
          </w:tcPr>
          <w:p w14:paraId="021692CB" w14:textId="318FDA0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83</w:t>
            </w:r>
          </w:p>
        </w:tc>
        <w:tc>
          <w:tcPr>
            <w:tcW w:w="900" w:type="dxa"/>
            <w:tcBorders>
              <w:left w:val="single" w:sz="8" w:space="0" w:color="7BA0CD" w:themeColor="accent1" w:themeTint="BF"/>
            </w:tcBorders>
          </w:tcPr>
          <w:p w14:paraId="370A3835" w14:textId="5EBE3BE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91</w:t>
            </w:r>
          </w:p>
        </w:tc>
      </w:tr>
      <w:tr w:rsidR="00794210" w:rsidRPr="00A07E93" w14:paraId="0725B62F"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F456BFB" w14:textId="72A66653" w:rsidR="00794210" w:rsidRPr="004F20A7" w:rsidRDefault="00794210" w:rsidP="00CF4D11">
            <w:pPr>
              <w:pStyle w:val="Tablenormalleft"/>
              <w:keepNext w:val="0"/>
              <w:widowControl w:val="0"/>
              <w:jc w:val="left"/>
              <w:rPr>
                <w:szCs w:val="18"/>
              </w:rPr>
            </w:pPr>
            <w:r w:rsidRPr="00A304D0">
              <w:t>51.3801</w:t>
            </w:r>
          </w:p>
        </w:tc>
        <w:tc>
          <w:tcPr>
            <w:tcW w:w="2340" w:type="dxa"/>
            <w:tcBorders>
              <w:left w:val="single" w:sz="8" w:space="0" w:color="7BA0CD" w:themeColor="accent1" w:themeTint="BF"/>
              <w:right w:val="single" w:sz="8" w:space="0" w:color="7BA0CD" w:themeColor="accent1" w:themeTint="BF"/>
            </w:tcBorders>
          </w:tcPr>
          <w:p w14:paraId="254C6B74" w14:textId="2F54389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Registered Nursing/Registered Nurse</w:t>
            </w:r>
          </w:p>
        </w:tc>
        <w:tc>
          <w:tcPr>
            <w:tcW w:w="900" w:type="dxa"/>
            <w:tcBorders>
              <w:left w:val="single" w:sz="8" w:space="0" w:color="7BA0CD" w:themeColor="accent1" w:themeTint="BF"/>
              <w:right w:val="single" w:sz="8" w:space="0" w:color="7BA0CD" w:themeColor="accent1" w:themeTint="BF"/>
            </w:tcBorders>
          </w:tcPr>
          <w:p w14:paraId="7FC310F0" w14:textId="68E5171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29-1141</w:t>
            </w:r>
          </w:p>
        </w:tc>
        <w:tc>
          <w:tcPr>
            <w:tcW w:w="2340" w:type="dxa"/>
            <w:tcBorders>
              <w:left w:val="single" w:sz="8" w:space="0" w:color="7BA0CD" w:themeColor="accent1" w:themeTint="BF"/>
              <w:right w:val="single" w:sz="8" w:space="0" w:color="7BA0CD" w:themeColor="accent1" w:themeTint="BF"/>
            </w:tcBorders>
          </w:tcPr>
          <w:p w14:paraId="796DB22F" w14:textId="1577DC2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Registered Nurses</w:t>
            </w:r>
          </w:p>
        </w:tc>
        <w:tc>
          <w:tcPr>
            <w:tcW w:w="1080" w:type="dxa"/>
            <w:tcBorders>
              <w:left w:val="single" w:sz="8" w:space="0" w:color="7BA0CD" w:themeColor="accent1" w:themeTint="BF"/>
              <w:right w:val="single" w:sz="8" w:space="0" w:color="7BA0CD" w:themeColor="accent1" w:themeTint="BF"/>
            </w:tcBorders>
          </w:tcPr>
          <w:p w14:paraId="00599D9A" w14:textId="1CD80CB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0.61</w:t>
            </w:r>
          </w:p>
        </w:tc>
        <w:tc>
          <w:tcPr>
            <w:tcW w:w="900" w:type="dxa"/>
            <w:tcBorders>
              <w:left w:val="single" w:sz="8" w:space="0" w:color="7BA0CD" w:themeColor="accent1" w:themeTint="BF"/>
              <w:right w:val="single" w:sz="8" w:space="0" w:color="7BA0CD" w:themeColor="accent1" w:themeTint="BF"/>
            </w:tcBorders>
          </w:tcPr>
          <w:p w14:paraId="08FFDF69" w14:textId="3350833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6</w:t>
            </w:r>
          </w:p>
        </w:tc>
        <w:tc>
          <w:tcPr>
            <w:tcW w:w="900" w:type="dxa"/>
            <w:tcBorders>
              <w:left w:val="single" w:sz="8" w:space="0" w:color="7BA0CD" w:themeColor="accent1" w:themeTint="BF"/>
            </w:tcBorders>
          </w:tcPr>
          <w:p w14:paraId="5B2A770B" w14:textId="5EB6801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45</w:t>
            </w:r>
          </w:p>
        </w:tc>
      </w:tr>
      <w:tr w:rsidR="00794210" w:rsidRPr="00A07E93" w14:paraId="5B37767E"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74D268E" w14:textId="6F7E4C68" w:rsidR="00794210" w:rsidRPr="004F20A7" w:rsidRDefault="00794210" w:rsidP="00CF4D11">
            <w:pPr>
              <w:pStyle w:val="Tablenormalleft"/>
              <w:keepNext w:val="0"/>
              <w:widowControl w:val="0"/>
              <w:jc w:val="left"/>
              <w:rPr>
                <w:szCs w:val="18"/>
              </w:rPr>
            </w:pPr>
            <w:r w:rsidRPr="00A304D0">
              <w:t>51.3901</w:t>
            </w:r>
          </w:p>
        </w:tc>
        <w:tc>
          <w:tcPr>
            <w:tcW w:w="2340" w:type="dxa"/>
            <w:tcBorders>
              <w:left w:val="single" w:sz="8" w:space="0" w:color="7BA0CD" w:themeColor="accent1" w:themeTint="BF"/>
              <w:right w:val="single" w:sz="8" w:space="0" w:color="7BA0CD" w:themeColor="accent1" w:themeTint="BF"/>
            </w:tcBorders>
          </w:tcPr>
          <w:p w14:paraId="75CCEDC6" w14:textId="2D6BB42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Licensed Practical/Vocational Nurse Training</w:t>
            </w:r>
          </w:p>
        </w:tc>
        <w:tc>
          <w:tcPr>
            <w:tcW w:w="900" w:type="dxa"/>
            <w:tcBorders>
              <w:left w:val="single" w:sz="8" w:space="0" w:color="7BA0CD" w:themeColor="accent1" w:themeTint="BF"/>
              <w:right w:val="single" w:sz="8" w:space="0" w:color="7BA0CD" w:themeColor="accent1" w:themeTint="BF"/>
            </w:tcBorders>
          </w:tcPr>
          <w:p w14:paraId="51CABD1D" w14:textId="774012B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29-2061</w:t>
            </w:r>
          </w:p>
        </w:tc>
        <w:tc>
          <w:tcPr>
            <w:tcW w:w="2340" w:type="dxa"/>
            <w:tcBorders>
              <w:left w:val="single" w:sz="8" w:space="0" w:color="7BA0CD" w:themeColor="accent1" w:themeTint="BF"/>
              <w:right w:val="single" w:sz="8" w:space="0" w:color="7BA0CD" w:themeColor="accent1" w:themeTint="BF"/>
            </w:tcBorders>
          </w:tcPr>
          <w:p w14:paraId="69C5E8DC" w14:textId="7E8F0FF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Licensed Practical and Licensed Vocational Nurses</w:t>
            </w:r>
          </w:p>
        </w:tc>
        <w:tc>
          <w:tcPr>
            <w:tcW w:w="1080" w:type="dxa"/>
            <w:tcBorders>
              <w:left w:val="single" w:sz="8" w:space="0" w:color="7BA0CD" w:themeColor="accent1" w:themeTint="BF"/>
              <w:right w:val="single" w:sz="8" w:space="0" w:color="7BA0CD" w:themeColor="accent1" w:themeTint="BF"/>
            </w:tcBorders>
          </w:tcPr>
          <w:p w14:paraId="68832C44" w14:textId="32FDB4F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0.34</w:t>
            </w:r>
          </w:p>
        </w:tc>
        <w:tc>
          <w:tcPr>
            <w:tcW w:w="900" w:type="dxa"/>
            <w:tcBorders>
              <w:left w:val="single" w:sz="8" w:space="0" w:color="7BA0CD" w:themeColor="accent1" w:themeTint="BF"/>
              <w:right w:val="single" w:sz="8" w:space="0" w:color="7BA0CD" w:themeColor="accent1" w:themeTint="BF"/>
            </w:tcBorders>
          </w:tcPr>
          <w:p w14:paraId="0B461F92" w14:textId="1BA4F80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78</w:t>
            </w:r>
          </w:p>
        </w:tc>
        <w:tc>
          <w:tcPr>
            <w:tcW w:w="900" w:type="dxa"/>
            <w:tcBorders>
              <w:left w:val="single" w:sz="8" w:space="0" w:color="7BA0CD" w:themeColor="accent1" w:themeTint="BF"/>
            </w:tcBorders>
          </w:tcPr>
          <w:p w14:paraId="1C35E8FA" w14:textId="2AFE87C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95</w:t>
            </w:r>
          </w:p>
        </w:tc>
      </w:tr>
      <w:tr w:rsidR="00794210" w:rsidRPr="00A07E93" w14:paraId="2BF87C20"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17E4DCF" w14:textId="1F70436F" w:rsidR="00794210" w:rsidRPr="004F20A7" w:rsidRDefault="00794210" w:rsidP="00CF4D11">
            <w:pPr>
              <w:pStyle w:val="Tablenormalleft"/>
              <w:keepNext w:val="0"/>
              <w:widowControl w:val="0"/>
              <w:jc w:val="left"/>
              <w:rPr>
                <w:szCs w:val="18"/>
              </w:rPr>
            </w:pPr>
            <w:r w:rsidRPr="00A304D0">
              <w:t>52.0101</w:t>
            </w:r>
          </w:p>
        </w:tc>
        <w:tc>
          <w:tcPr>
            <w:tcW w:w="2340" w:type="dxa"/>
            <w:tcBorders>
              <w:left w:val="single" w:sz="8" w:space="0" w:color="7BA0CD" w:themeColor="accent1" w:themeTint="BF"/>
              <w:right w:val="single" w:sz="8" w:space="0" w:color="7BA0CD" w:themeColor="accent1" w:themeTint="BF"/>
            </w:tcBorders>
          </w:tcPr>
          <w:p w14:paraId="057BD592" w14:textId="75146E9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Business/</w:t>
            </w:r>
            <w:r w:rsidR="006C38C7" w:rsidRPr="00A304D0">
              <w:t>Comme</w:t>
            </w:r>
            <w:r w:rsidR="006C38C7">
              <w:t>nce</w:t>
            </w:r>
            <w:r w:rsidRPr="00A304D0">
              <w:t>, General</w:t>
            </w:r>
          </w:p>
        </w:tc>
        <w:tc>
          <w:tcPr>
            <w:tcW w:w="900" w:type="dxa"/>
            <w:tcBorders>
              <w:left w:val="single" w:sz="8" w:space="0" w:color="7BA0CD" w:themeColor="accent1" w:themeTint="BF"/>
              <w:right w:val="single" w:sz="8" w:space="0" w:color="7BA0CD" w:themeColor="accent1" w:themeTint="BF"/>
            </w:tcBorders>
          </w:tcPr>
          <w:p w14:paraId="7ABCED92" w14:textId="0A765F0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11-1011</w:t>
            </w:r>
          </w:p>
        </w:tc>
        <w:tc>
          <w:tcPr>
            <w:tcW w:w="2340" w:type="dxa"/>
            <w:tcBorders>
              <w:left w:val="single" w:sz="8" w:space="0" w:color="7BA0CD" w:themeColor="accent1" w:themeTint="BF"/>
              <w:right w:val="single" w:sz="8" w:space="0" w:color="7BA0CD" w:themeColor="accent1" w:themeTint="BF"/>
            </w:tcBorders>
          </w:tcPr>
          <w:p w14:paraId="3CF2E856" w14:textId="57183F1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Chief Executives</w:t>
            </w:r>
          </w:p>
        </w:tc>
        <w:tc>
          <w:tcPr>
            <w:tcW w:w="1080" w:type="dxa"/>
            <w:tcBorders>
              <w:left w:val="single" w:sz="8" w:space="0" w:color="7BA0CD" w:themeColor="accent1" w:themeTint="BF"/>
              <w:right w:val="single" w:sz="8" w:space="0" w:color="7BA0CD" w:themeColor="accent1" w:themeTint="BF"/>
            </w:tcBorders>
          </w:tcPr>
          <w:p w14:paraId="4DC7ED1B" w14:textId="4F90B69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09DFF1B0" w14:textId="02F09B4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27</w:t>
            </w:r>
          </w:p>
        </w:tc>
        <w:tc>
          <w:tcPr>
            <w:tcW w:w="900" w:type="dxa"/>
            <w:tcBorders>
              <w:left w:val="single" w:sz="8" w:space="0" w:color="7BA0CD" w:themeColor="accent1" w:themeTint="BF"/>
            </w:tcBorders>
          </w:tcPr>
          <w:p w14:paraId="6F47AE59" w14:textId="2F48143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33</w:t>
            </w:r>
          </w:p>
        </w:tc>
      </w:tr>
      <w:tr w:rsidR="00794210" w:rsidRPr="00A07E93" w14:paraId="10714808"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71728DC" w14:textId="5EC093D8"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E875F74" w14:textId="6FC708E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A65D5AF" w14:textId="4DB0D42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11-1021</w:t>
            </w:r>
          </w:p>
        </w:tc>
        <w:tc>
          <w:tcPr>
            <w:tcW w:w="2340" w:type="dxa"/>
            <w:tcBorders>
              <w:left w:val="single" w:sz="8" w:space="0" w:color="7BA0CD" w:themeColor="accent1" w:themeTint="BF"/>
              <w:right w:val="single" w:sz="8" w:space="0" w:color="7BA0CD" w:themeColor="accent1" w:themeTint="BF"/>
            </w:tcBorders>
          </w:tcPr>
          <w:p w14:paraId="1FC36DAC" w14:textId="5707179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General and Operations Managers</w:t>
            </w:r>
          </w:p>
        </w:tc>
        <w:tc>
          <w:tcPr>
            <w:tcW w:w="1080" w:type="dxa"/>
            <w:tcBorders>
              <w:left w:val="single" w:sz="8" w:space="0" w:color="7BA0CD" w:themeColor="accent1" w:themeTint="BF"/>
              <w:right w:val="single" w:sz="8" w:space="0" w:color="7BA0CD" w:themeColor="accent1" w:themeTint="BF"/>
            </w:tcBorders>
          </w:tcPr>
          <w:p w14:paraId="275323D2" w14:textId="24153D9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3B91FBF1" w14:textId="33748FC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42</w:t>
            </w:r>
          </w:p>
        </w:tc>
        <w:tc>
          <w:tcPr>
            <w:tcW w:w="900" w:type="dxa"/>
            <w:tcBorders>
              <w:left w:val="single" w:sz="8" w:space="0" w:color="7BA0CD" w:themeColor="accent1" w:themeTint="BF"/>
            </w:tcBorders>
          </w:tcPr>
          <w:p w14:paraId="6A7B1F6B" w14:textId="4D636BF9"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51</w:t>
            </w:r>
          </w:p>
        </w:tc>
      </w:tr>
      <w:tr w:rsidR="00794210" w:rsidRPr="00A07E93" w14:paraId="6F061AD0"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97E2B4A" w14:textId="443103FF"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84FA047" w14:textId="071A6C5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1C4C14D" w14:textId="6DFA2A8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11-2022</w:t>
            </w:r>
          </w:p>
        </w:tc>
        <w:tc>
          <w:tcPr>
            <w:tcW w:w="2340" w:type="dxa"/>
            <w:tcBorders>
              <w:left w:val="single" w:sz="8" w:space="0" w:color="7BA0CD" w:themeColor="accent1" w:themeTint="BF"/>
              <w:right w:val="single" w:sz="8" w:space="0" w:color="7BA0CD" w:themeColor="accent1" w:themeTint="BF"/>
            </w:tcBorders>
          </w:tcPr>
          <w:p w14:paraId="1438640B" w14:textId="1C6D02E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Sales Managers</w:t>
            </w:r>
          </w:p>
        </w:tc>
        <w:tc>
          <w:tcPr>
            <w:tcW w:w="1080" w:type="dxa"/>
            <w:tcBorders>
              <w:left w:val="single" w:sz="8" w:space="0" w:color="7BA0CD" w:themeColor="accent1" w:themeTint="BF"/>
              <w:right w:val="single" w:sz="8" w:space="0" w:color="7BA0CD" w:themeColor="accent1" w:themeTint="BF"/>
            </w:tcBorders>
          </w:tcPr>
          <w:p w14:paraId="5262AEE5" w14:textId="492CACD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2EDC6A2C" w14:textId="6F02A4A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27</w:t>
            </w:r>
          </w:p>
        </w:tc>
        <w:tc>
          <w:tcPr>
            <w:tcW w:w="900" w:type="dxa"/>
            <w:tcBorders>
              <w:left w:val="single" w:sz="8" w:space="0" w:color="7BA0CD" w:themeColor="accent1" w:themeTint="BF"/>
            </w:tcBorders>
          </w:tcPr>
          <w:p w14:paraId="58E1F1CD" w14:textId="6B2A30F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33</w:t>
            </w:r>
          </w:p>
        </w:tc>
      </w:tr>
      <w:tr w:rsidR="00794210" w:rsidRPr="00A07E93" w14:paraId="3E0B46B8"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85A19DE" w14:textId="17D4756E"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39F3237" w14:textId="241C334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D563648" w14:textId="579E35D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11-3011</w:t>
            </w:r>
          </w:p>
        </w:tc>
        <w:tc>
          <w:tcPr>
            <w:tcW w:w="2340" w:type="dxa"/>
            <w:tcBorders>
              <w:left w:val="single" w:sz="8" w:space="0" w:color="7BA0CD" w:themeColor="accent1" w:themeTint="BF"/>
              <w:right w:val="single" w:sz="8" w:space="0" w:color="7BA0CD" w:themeColor="accent1" w:themeTint="BF"/>
            </w:tcBorders>
          </w:tcPr>
          <w:p w14:paraId="7F6D3AE0" w14:textId="4E1B835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Administrative Services Managers</w:t>
            </w:r>
          </w:p>
        </w:tc>
        <w:tc>
          <w:tcPr>
            <w:tcW w:w="1080" w:type="dxa"/>
            <w:tcBorders>
              <w:left w:val="single" w:sz="8" w:space="0" w:color="7BA0CD" w:themeColor="accent1" w:themeTint="BF"/>
              <w:right w:val="single" w:sz="8" w:space="0" w:color="7BA0CD" w:themeColor="accent1" w:themeTint="BF"/>
            </w:tcBorders>
          </w:tcPr>
          <w:p w14:paraId="1C789199" w14:textId="2663B45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5876558D" w14:textId="35F932F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48</w:t>
            </w:r>
          </w:p>
        </w:tc>
        <w:tc>
          <w:tcPr>
            <w:tcW w:w="900" w:type="dxa"/>
            <w:tcBorders>
              <w:left w:val="single" w:sz="8" w:space="0" w:color="7BA0CD" w:themeColor="accent1" w:themeTint="BF"/>
            </w:tcBorders>
          </w:tcPr>
          <w:p w14:paraId="4EBCDA30" w14:textId="0403556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59</w:t>
            </w:r>
          </w:p>
        </w:tc>
      </w:tr>
      <w:tr w:rsidR="00794210" w:rsidRPr="00A07E93" w14:paraId="37E8FEC3"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338509A" w14:textId="30138FCC"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2790C3F" w14:textId="4C96842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8D7A0BB" w14:textId="220A07F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11-3051</w:t>
            </w:r>
          </w:p>
        </w:tc>
        <w:tc>
          <w:tcPr>
            <w:tcW w:w="2340" w:type="dxa"/>
            <w:tcBorders>
              <w:left w:val="single" w:sz="8" w:space="0" w:color="7BA0CD" w:themeColor="accent1" w:themeTint="BF"/>
              <w:right w:val="single" w:sz="8" w:space="0" w:color="7BA0CD" w:themeColor="accent1" w:themeTint="BF"/>
            </w:tcBorders>
          </w:tcPr>
          <w:p w14:paraId="333E0997" w14:textId="4D99FC9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Industrial Production Managers</w:t>
            </w:r>
          </w:p>
        </w:tc>
        <w:tc>
          <w:tcPr>
            <w:tcW w:w="1080" w:type="dxa"/>
            <w:tcBorders>
              <w:left w:val="single" w:sz="8" w:space="0" w:color="7BA0CD" w:themeColor="accent1" w:themeTint="BF"/>
              <w:right w:val="single" w:sz="8" w:space="0" w:color="7BA0CD" w:themeColor="accent1" w:themeTint="BF"/>
            </w:tcBorders>
          </w:tcPr>
          <w:p w14:paraId="6E02AFA8" w14:textId="6DCBE08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7819BD02" w14:textId="2B582CB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47</w:t>
            </w:r>
          </w:p>
        </w:tc>
        <w:tc>
          <w:tcPr>
            <w:tcW w:w="900" w:type="dxa"/>
            <w:tcBorders>
              <w:left w:val="single" w:sz="8" w:space="0" w:color="7BA0CD" w:themeColor="accent1" w:themeTint="BF"/>
            </w:tcBorders>
          </w:tcPr>
          <w:p w14:paraId="0E74F508" w14:textId="62E72E3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56</w:t>
            </w:r>
          </w:p>
        </w:tc>
      </w:tr>
      <w:tr w:rsidR="00794210" w:rsidRPr="00A07E93" w14:paraId="53AEB3AC"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B9D6211" w14:textId="6E177AC4"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FC7FA18" w14:textId="0F9A2ED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5D25557" w14:textId="5751EE0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11-3071</w:t>
            </w:r>
          </w:p>
        </w:tc>
        <w:tc>
          <w:tcPr>
            <w:tcW w:w="2340" w:type="dxa"/>
            <w:tcBorders>
              <w:left w:val="single" w:sz="8" w:space="0" w:color="7BA0CD" w:themeColor="accent1" w:themeTint="BF"/>
              <w:right w:val="single" w:sz="8" w:space="0" w:color="7BA0CD" w:themeColor="accent1" w:themeTint="BF"/>
            </w:tcBorders>
          </w:tcPr>
          <w:p w14:paraId="5120D6BA" w14:textId="4A51273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Transportation, Storage, and Distribution Managers</w:t>
            </w:r>
          </w:p>
        </w:tc>
        <w:tc>
          <w:tcPr>
            <w:tcW w:w="1080" w:type="dxa"/>
            <w:tcBorders>
              <w:left w:val="single" w:sz="8" w:space="0" w:color="7BA0CD" w:themeColor="accent1" w:themeTint="BF"/>
              <w:right w:val="single" w:sz="8" w:space="0" w:color="7BA0CD" w:themeColor="accent1" w:themeTint="BF"/>
            </w:tcBorders>
          </w:tcPr>
          <w:p w14:paraId="73DA7B87" w14:textId="5109A5C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1FC1E1B5" w14:textId="45A16EEF"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63</w:t>
            </w:r>
          </w:p>
        </w:tc>
        <w:tc>
          <w:tcPr>
            <w:tcW w:w="900" w:type="dxa"/>
            <w:tcBorders>
              <w:left w:val="single" w:sz="8" w:space="0" w:color="7BA0CD" w:themeColor="accent1" w:themeTint="BF"/>
            </w:tcBorders>
          </w:tcPr>
          <w:p w14:paraId="6BFC9360" w14:textId="1FCEF96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71</w:t>
            </w:r>
          </w:p>
        </w:tc>
      </w:tr>
      <w:tr w:rsidR="00794210" w:rsidRPr="00A07E93" w14:paraId="0E23172C"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88D2CD2" w14:textId="0DE72572"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AFD5133" w14:textId="0FF5E98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320F45C" w14:textId="2D6E590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11-9021</w:t>
            </w:r>
          </w:p>
        </w:tc>
        <w:tc>
          <w:tcPr>
            <w:tcW w:w="2340" w:type="dxa"/>
            <w:tcBorders>
              <w:left w:val="single" w:sz="8" w:space="0" w:color="7BA0CD" w:themeColor="accent1" w:themeTint="BF"/>
              <w:right w:val="single" w:sz="8" w:space="0" w:color="7BA0CD" w:themeColor="accent1" w:themeTint="BF"/>
            </w:tcBorders>
          </w:tcPr>
          <w:p w14:paraId="724B3760" w14:textId="014A507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Construction Managers</w:t>
            </w:r>
          </w:p>
        </w:tc>
        <w:tc>
          <w:tcPr>
            <w:tcW w:w="1080" w:type="dxa"/>
            <w:tcBorders>
              <w:left w:val="single" w:sz="8" w:space="0" w:color="7BA0CD" w:themeColor="accent1" w:themeTint="BF"/>
              <w:right w:val="single" w:sz="8" w:space="0" w:color="7BA0CD" w:themeColor="accent1" w:themeTint="BF"/>
            </w:tcBorders>
          </w:tcPr>
          <w:p w14:paraId="4A98426E" w14:textId="3B51DDA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0.01</w:t>
            </w:r>
          </w:p>
        </w:tc>
        <w:tc>
          <w:tcPr>
            <w:tcW w:w="900" w:type="dxa"/>
            <w:tcBorders>
              <w:left w:val="single" w:sz="8" w:space="0" w:color="7BA0CD" w:themeColor="accent1" w:themeTint="BF"/>
              <w:right w:val="single" w:sz="8" w:space="0" w:color="7BA0CD" w:themeColor="accent1" w:themeTint="BF"/>
            </w:tcBorders>
          </w:tcPr>
          <w:p w14:paraId="4E3946A8" w14:textId="04A3B08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59</w:t>
            </w:r>
          </w:p>
        </w:tc>
        <w:tc>
          <w:tcPr>
            <w:tcW w:w="900" w:type="dxa"/>
            <w:tcBorders>
              <w:left w:val="single" w:sz="8" w:space="0" w:color="7BA0CD" w:themeColor="accent1" w:themeTint="BF"/>
            </w:tcBorders>
          </w:tcPr>
          <w:p w14:paraId="06588CED" w14:textId="298107B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66</w:t>
            </w:r>
          </w:p>
        </w:tc>
      </w:tr>
      <w:tr w:rsidR="00794210" w:rsidRPr="00A07E93" w14:paraId="6DC98F48"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62B4C71" w14:textId="5B582B94"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6208556" w14:textId="0FCC0F6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8A7F880" w14:textId="14FCCBA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11-9151</w:t>
            </w:r>
          </w:p>
        </w:tc>
        <w:tc>
          <w:tcPr>
            <w:tcW w:w="2340" w:type="dxa"/>
            <w:tcBorders>
              <w:left w:val="single" w:sz="8" w:space="0" w:color="7BA0CD" w:themeColor="accent1" w:themeTint="BF"/>
              <w:right w:val="single" w:sz="8" w:space="0" w:color="7BA0CD" w:themeColor="accent1" w:themeTint="BF"/>
            </w:tcBorders>
          </w:tcPr>
          <w:p w14:paraId="6EF5328B" w14:textId="1DDDCA3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Social and Community Service Managers</w:t>
            </w:r>
          </w:p>
        </w:tc>
        <w:tc>
          <w:tcPr>
            <w:tcW w:w="1080" w:type="dxa"/>
            <w:tcBorders>
              <w:left w:val="single" w:sz="8" w:space="0" w:color="7BA0CD" w:themeColor="accent1" w:themeTint="BF"/>
              <w:right w:val="single" w:sz="8" w:space="0" w:color="7BA0CD" w:themeColor="accent1" w:themeTint="BF"/>
            </w:tcBorders>
          </w:tcPr>
          <w:p w14:paraId="4FA0FBDA" w14:textId="2084895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0.01</w:t>
            </w:r>
          </w:p>
        </w:tc>
        <w:tc>
          <w:tcPr>
            <w:tcW w:w="900" w:type="dxa"/>
            <w:tcBorders>
              <w:left w:val="single" w:sz="8" w:space="0" w:color="7BA0CD" w:themeColor="accent1" w:themeTint="BF"/>
              <w:right w:val="single" w:sz="8" w:space="0" w:color="7BA0CD" w:themeColor="accent1" w:themeTint="BF"/>
            </w:tcBorders>
          </w:tcPr>
          <w:p w14:paraId="6DEAAFB0" w14:textId="4964DAD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25</w:t>
            </w:r>
          </w:p>
        </w:tc>
        <w:tc>
          <w:tcPr>
            <w:tcW w:w="900" w:type="dxa"/>
            <w:tcBorders>
              <w:left w:val="single" w:sz="8" w:space="0" w:color="7BA0CD" w:themeColor="accent1" w:themeTint="BF"/>
            </w:tcBorders>
          </w:tcPr>
          <w:p w14:paraId="5F62D671" w14:textId="08AA5FD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31</w:t>
            </w:r>
          </w:p>
        </w:tc>
      </w:tr>
      <w:tr w:rsidR="00794210" w:rsidRPr="00A07E93" w14:paraId="6C72FB7F"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D81832C" w14:textId="3F484541"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C920740" w14:textId="530774D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92CFB0A" w14:textId="7C26CD69"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11-9199</w:t>
            </w:r>
          </w:p>
        </w:tc>
        <w:tc>
          <w:tcPr>
            <w:tcW w:w="2340" w:type="dxa"/>
            <w:tcBorders>
              <w:left w:val="single" w:sz="8" w:space="0" w:color="7BA0CD" w:themeColor="accent1" w:themeTint="BF"/>
              <w:right w:val="single" w:sz="8" w:space="0" w:color="7BA0CD" w:themeColor="accent1" w:themeTint="BF"/>
            </w:tcBorders>
          </w:tcPr>
          <w:p w14:paraId="7DA791D6" w14:textId="4B42691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Managers, All Other</w:t>
            </w:r>
          </w:p>
        </w:tc>
        <w:tc>
          <w:tcPr>
            <w:tcW w:w="1080" w:type="dxa"/>
            <w:tcBorders>
              <w:left w:val="single" w:sz="8" w:space="0" w:color="7BA0CD" w:themeColor="accent1" w:themeTint="BF"/>
              <w:right w:val="single" w:sz="8" w:space="0" w:color="7BA0CD" w:themeColor="accent1" w:themeTint="BF"/>
            </w:tcBorders>
          </w:tcPr>
          <w:p w14:paraId="2092AB77" w14:textId="40AF181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0.01</w:t>
            </w:r>
          </w:p>
        </w:tc>
        <w:tc>
          <w:tcPr>
            <w:tcW w:w="900" w:type="dxa"/>
            <w:tcBorders>
              <w:left w:val="single" w:sz="8" w:space="0" w:color="7BA0CD" w:themeColor="accent1" w:themeTint="BF"/>
              <w:right w:val="single" w:sz="8" w:space="0" w:color="7BA0CD" w:themeColor="accent1" w:themeTint="BF"/>
            </w:tcBorders>
          </w:tcPr>
          <w:p w14:paraId="35C8BD49" w14:textId="600CDBF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38</w:t>
            </w:r>
          </w:p>
        </w:tc>
        <w:tc>
          <w:tcPr>
            <w:tcW w:w="900" w:type="dxa"/>
            <w:tcBorders>
              <w:left w:val="single" w:sz="8" w:space="0" w:color="7BA0CD" w:themeColor="accent1" w:themeTint="BF"/>
            </w:tcBorders>
          </w:tcPr>
          <w:p w14:paraId="7112772D" w14:textId="38C507C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46</w:t>
            </w:r>
          </w:p>
        </w:tc>
      </w:tr>
      <w:tr w:rsidR="00794210" w:rsidRPr="00A07E93" w14:paraId="4D1011F9"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E05B72C" w14:textId="586910D0"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C50CE2E" w14:textId="7208355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3028138" w14:textId="027BCBD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13-1051</w:t>
            </w:r>
          </w:p>
        </w:tc>
        <w:tc>
          <w:tcPr>
            <w:tcW w:w="2340" w:type="dxa"/>
            <w:tcBorders>
              <w:left w:val="single" w:sz="8" w:space="0" w:color="7BA0CD" w:themeColor="accent1" w:themeTint="BF"/>
              <w:right w:val="single" w:sz="8" w:space="0" w:color="7BA0CD" w:themeColor="accent1" w:themeTint="BF"/>
            </w:tcBorders>
          </w:tcPr>
          <w:p w14:paraId="02241844" w14:textId="0CA2B9B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Cost Estimators</w:t>
            </w:r>
          </w:p>
        </w:tc>
        <w:tc>
          <w:tcPr>
            <w:tcW w:w="1080" w:type="dxa"/>
            <w:tcBorders>
              <w:left w:val="single" w:sz="8" w:space="0" w:color="7BA0CD" w:themeColor="accent1" w:themeTint="BF"/>
              <w:right w:val="single" w:sz="8" w:space="0" w:color="7BA0CD" w:themeColor="accent1" w:themeTint="BF"/>
            </w:tcBorders>
          </w:tcPr>
          <w:p w14:paraId="3DC390CA" w14:textId="6F754A7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0.01</w:t>
            </w:r>
          </w:p>
        </w:tc>
        <w:tc>
          <w:tcPr>
            <w:tcW w:w="900" w:type="dxa"/>
            <w:tcBorders>
              <w:left w:val="single" w:sz="8" w:space="0" w:color="7BA0CD" w:themeColor="accent1" w:themeTint="BF"/>
              <w:right w:val="single" w:sz="8" w:space="0" w:color="7BA0CD" w:themeColor="accent1" w:themeTint="BF"/>
            </w:tcBorders>
          </w:tcPr>
          <w:p w14:paraId="1296760C" w14:textId="5AE700A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55</w:t>
            </w:r>
          </w:p>
        </w:tc>
        <w:tc>
          <w:tcPr>
            <w:tcW w:w="900" w:type="dxa"/>
            <w:tcBorders>
              <w:left w:val="single" w:sz="8" w:space="0" w:color="7BA0CD" w:themeColor="accent1" w:themeTint="BF"/>
            </w:tcBorders>
          </w:tcPr>
          <w:p w14:paraId="313B5A9D" w14:textId="70A1664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67</w:t>
            </w:r>
          </w:p>
        </w:tc>
      </w:tr>
      <w:tr w:rsidR="00794210" w:rsidRPr="00A07E93" w14:paraId="34FE3633"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F9FF800" w14:textId="728144D7"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6F9F97B" w14:textId="43D600E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EE4C995" w14:textId="217349E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13-1111</w:t>
            </w:r>
          </w:p>
        </w:tc>
        <w:tc>
          <w:tcPr>
            <w:tcW w:w="2340" w:type="dxa"/>
            <w:tcBorders>
              <w:left w:val="single" w:sz="8" w:space="0" w:color="7BA0CD" w:themeColor="accent1" w:themeTint="BF"/>
              <w:right w:val="single" w:sz="8" w:space="0" w:color="7BA0CD" w:themeColor="accent1" w:themeTint="BF"/>
            </w:tcBorders>
          </w:tcPr>
          <w:p w14:paraId="2A165A88" w14:textId="4C00050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Management Analysts</w:t>
            </w:r>
          </w:p>
        </w:tc>
        <w:tc>
          <w:tcPr>
            <w:tcW w:w="1080" w:type="dxa"/>
            <w:tcBorders>
              <w:left w:val="single" w:sz="8" w:space="0" w:color="7BA0CD" w:themeColor="accent1" w:themeTint="BF"/>
              <w:right w:val="single" w:sz="8" w:space="0" w:color="7BA0CD" w:themeColor="accent1" w:themeTint="BF"/>
            </w:tcBorders>
          </w:tcPr>
          <w:p w14:paraId="369BE18F" w14:textId="5D620DA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0.02</w:t>
            </w:r>
          </w:p>
        </w:tc>
        <w:tc>
          <w:tcPr>
            <w:tcW w:w="900" w:type="dxa"/>
            <w:tcBorders>
              <w:left w:val="single" w:sz="8" w:space="0" w:color="7BA0CD" w:themeColor="accent1" w:themeTint="BF"/>
              <w:right w:val="single" w:sz="8" w:space="0" w:color="7BA0CD" w:themeColor="accent1" w:themeTint="BF"/>
            </w:tcBorders>
          </w:tcPr>
          <w:p w14:paraId="1528EFBD" w14:textId="672C3C9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18</w:t>
            </w:r>
          </w:p>
        </w:tc>
        <w:tc>
          <w:tcPr>
            <w:tcW w:w="900" w:type="dxa"/>
            <w:tcBorders>
              <w:left w:val="single" w:sz="8" w:space="0" w:color="7BA0CD" w:themeColor="accent1" w:themeTint="BF"/>
            </w:tcBorders>
          </w:tcPr>
          <w:p w14:paraId="5E81CF65" w14:textId="3F18EFE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23</w:t>
            </w:r>
          </w:p>
        </w:tc>
      </w:tr>
      <w:tr w:rsidR="00794210" w:rsidRPr="00A07E93" w14:paraId="6C18B18B"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EDBB6DB" w14:textId="261B069F" w:rsidR="00794210" w:rsidRPr="004F20A7" w:rsidRDefault="00794210" w:rsidP="00CF4D11">
            <w:pPr>
              <w:pStyle w:val="Tablenormalleft"/>
              <w:keepNext w:val="0"/>
              <w:widowControl w:val="0"/>
              <w:jc w:val="left"/>
              <w:rPr>
                <w:szCs w:val="18"/>
              </w:rPr>
            </w:pPr>
            <w:r w:rsidRPr="00A304D0">
              <w:t>52.0201</w:t>
            </w:r>
          </w:p>
        </w:tc>
        <w:tc>
          <w:tcPr>
            <w:tcW w:w="2340" w:type="dxa"/>
            <w:tcBorders>
              <w:left w:val="single" w:sz="8" w:space="0" w:color="7BA0CD" w:themeColor="accent1" w:themeTint="BF"/>
              <w:right w:val="single" w:sz="8" w:space="0" w:color="7BA0CD" w:themeColor="accent1" w:themeTint="BF"/>
            </w:tcBorders>
          </w:tcPr>
          <w:p w14:paraId="6E02B098" w14:textId="3CEDCC9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Business Administration and Management, General</w:t>
            </w:r>
          </w:p>
        </w:tc>
        <w:tc>
          <w:tcPr>
            <w:tcW w:w="900" w:type="dxa"/>
            <w:tcBorders>
              <w:left w:val="single" w:sz="8" w:space="0" w:color="7BA0CD" w:themeColor="accent1" w:themeTint="BF"/>
              <w:right w:val="single" w:sz="8" w:space="0" w:color="7BA0CD" w:themeColor="accent1" w:themeTint="BF"/>
            </w:tcBorders>
          </w:tcPr>
          <w:p w14:paraId="783DAA88" w14:textId="3B9438E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11-1011</w:t>
            </w:r>
          </w:p>
        </w:tc>
        <w:tc>
          <w:tcPr>
            <w:tcW w:w="2340" w:type="dxa"/>
            <w:tcBorders>
              <w:left w:val="single" w:sz="8" w:space="0" w:color="7BA0CD" w:themeColor="accent1" w:themeTint="BF"/>
              <w:right w:val="single" w:sz="8" w:space="0" w:color="7BA0CD" w:themeColor="accent1" w:themeTint="BF"/>
            </w:tcBorders>
          </w:tcPr>
          <w:p w14:paraId="70C41239" w14:textId="5E1B492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Chief Executives</w:t>
            </w:r>
          </w:p>
        </w:tc>
        <w:tc>
          <w:tcPr>
            <w:tcW w:w="1080" w:type="dxa"/>
            <w:tcBorders>
              <w:left w:val="single" w:sz="8" w:space="0" w:color="7BA0CD" w:themeColor="accent1" w:themeTint="BF"/>
              <w:right w:val="single" w:sz="8" w:space="0" w:color="7BA0CD" w:themeColor="accent1" w:themeTint="BF"/>
            </w:tcBorders>
          </w:tcPr>
          <w:p w14:paraId="2CFC076C" w14:textId="4AAE71E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0.96</w:t>
            </w:r>
          </w:p>
        </w:tc>
        <w:tc>
          <w:tcPr>
            <w:tcW w:w="900" w:type="dxa"/>
            <w:tcBorders>
              <w:left w:val="single" w:sz="8" w:space="0" w:color="7BA0CD" w:themeColor="accent1" w:themeTint="BF"/>
              <w:right w:val="single" w:sz="8" w:space="0" w:color="7BA0CD" w:themeColor="accent1" w:themeTint="BF"/>
            </w:tcBorders>
          </w:tcPr>
          <w:p w14:paraId="5BB597AB" w14:textId="4680A99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27</w:t>
            </w:r>
          </w:p>
        </w:tc>
        <w:tc>
          <w:tcPr>
            <w:tcW w:w="900" w:type="dxa"/>
            <w:tcBorders>
              <w:left w:val="single" w:sz="8" w:space="0" w:color="7BA0CD" w:themeColor="accent1" w:themeTint="BF"/>
            </w:tcBorders>
          </w:tcPr>
          <w:p w14:paraId="6088685D" w14:textId="2BC22C6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33</w:t>
            </w:r>
          </w:p>
        </w:tc>
      </w:tr>
      <w:tr w:rsidR="00794210" w:rsidRPr="00A07E93" w14:paraId="4C5BAB91"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F1AEF92" w14:textId="7ADC0DAD"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765A7CE" w14:textId="6052805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1E355BE" w14:textId="17C36AE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11-1021</w:t>
            </w:r>
          </w:p>
        </w:tc>
        <w:tc>
          <w:tcPr>
            <w:tcW w:w="2340" w:type="dxa"/>
            <w:tcBorders>
              <w:left w:val="single" w:sz="8" w:space="0" w:color="7BA0CD" w:themeColor="accent1" w:themeTint="BF"/>
              <w:right w:val="single" w:sz="8" w:space="0" w:color="7BA0CD" w:themeColor="accent1" w:themeTint="BF"/>
            </w:tcBorders>
          </w:tcPr>
          <w:p w14:paraId="295D0D93" w14:textId="2BE21BA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General and Operations Managers</w:t>
            </w:r>
          </w:p>
        </w:tc>
        <w:tc>
          <w:tcPr>
            <w:tcW w:w="1080" w:type="dxa"/>
            <w:tcBorders>
              <w:left w:val="single" w:sz="8" w:space="0" w:color="7BA0CD" w:themeColor="accent1" w:themeTint="BF"/>
              <w:right w:val="single" w:sz="8" w:space="0" w:color="7BA0CD" w:themeColor="accent1" w:themeTint="BF"/>
            </w:tcBorders>
          </w:tcPr>
          <w:p w14:paraId="71DE990A" w14:textId="0823E28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0.95</w:t>
            </w:r>
          </w:p>
        </w:tc>
        <w:tc>
          <w:tcPr>
            <w:tcW w:w="900" w:type="dxa"/>
            <w:tcBorders>
              <w:left w:val="single" w:sz="8" w:space="0" w:color="7BA0CD" w:themeColor="accent1" w:themeTint="BF"/>
              <w:right w:val="single" w:sz="8" w:space="0" w:color="7BA0CD" w:themeColor="accent1" w:themeTint="BF"/>
            </w:tcBorders>
          </w:tcPr>
          <w:p w14:paraId="03A21045" w14:textId="00B8A39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42</w:t>
            </w:r>
          </w:p>
        </w:tc>
        <w:tc>
          <w:tcPr>
            <w:tcW w:w="900" w:type="dxa"/>
            <w:tcBorders>
              <w:left w:val="single" w:sz="8" w:space="0" w:color="7BA0CD" w:themeColor="accent1" w:themeTint="BF"/>
            </w:tcBorders>
          </w:tcPr>
          <w:p w14:paraId="7B56CF4D" w14:textId="51C2337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51</w:t>
            </w:r>
          </w:p>
        </w:tc>
      </w:tr>
      <w:tr w:rsidR="00794210" w:rsidRPr="00A07E93" w14:paraId="0CF4B3DB"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DD0EC61" w14:textId="77BCE821"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30910D7" w14:textId="2BEBA950"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DD7EC83" w14:textId="318F871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11-2022</w:t>
            </w:r>
          </w:p>
        </w:tc>
        <w:tc>
          <w:tcPr>
            <w:tcW w:w="2340" w:type="dxa"/>
            <w:tcBorders>
              <w:left w:val="single" w:sz="8" w:space="0" w:color="7BA0CD" w:themeColor="accent1" w:themeTint="BF"/>
              <w:right w:val="single" w:sz="8" w:space="0" w:color="7BA0CD" w:themeColor="accent1" w:themeTint="BF"/>
            </w:tcBorders>
          </w:tcPr>
          <w:p w14:paraId="1F99205A" w14:textId="60CCAF5A"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Sales Managers</w:t>
            </w:r>
          </w:p>
        </w:tc>
        <w:tc>
          <w:tcPr>
            <w:tcW w:w="1080" w:type="dxa"/>
            <w:tcBorders>
              <w:left w:val="single" w:sz="8" w:space="0" w:color="7BA0CD" w:themeColor="accent1" w:themeTint="BF"/>
              <w:right w:val="single" w:sz="8" w:space="0" w:color="7BA0CD" w:themeColor="accent1" w:themeTint="BF"/>
            </w:tcBorders>
          </w:tcPr>
          <w:p w14:paraId="507AF077" w14:textId="0FFC694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0.98</w:t>
            </w:r>
          </w:p>
        </w:tc>
        <w:tc>
          <w:tcPr>
            <w:tcW w:w="900" w:type="dxa"/>
            <w:tcBorders>
              <w:left w:val="single" w:sz="8" w:space="0" w:color="7BA0CD" w:themeColor="accent1" w:themeTint="BF"/>
              <w:right w:val="single" w:sz="8" w:space="0" w:color="7BA0CD" w:themeColor="accent1" w:themeTint="BF"/>
            </w:tcBorders>
          </w:tcPr>
          <w:p w14:paraId="1767E1EB" w14:textId="3D3F969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27</w:t>
            </w:r>
          </w:p>
        </w:tc>
        <w:tc>
          <w:tcPr>
            <w:tcW w:w="900" w:type="dxa"/>
            <w:tcBorders>
              <w:left w:val="single" w:sz="8" w:space="0" w:color="7BA0CD" w:themeColor="accent1" w:themeTint="BF"/>
            </w:tcBorders>
          </w:tcPr>
          <w:p w14:paraId="0752C24D" w14:textId="4FC32F6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33</w:t>
            </w:r>
          </w:p>
        </w:tc>
      </w:tr>
      <w:tr w:rsidR="00794210" w:rsidRPr="00A07E93" w14:paraId="7B883E44"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538A5DC" w14:textId="2ECC20DD"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93FA431" w14:textId="1C57D96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98AB947" w14:textId="56DA3C0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11-3011</w:t>
            </w:r>
          </w:p>
        </w:tc>
        <w:tc>
          <w:tcPr>
            <w:tcW w:w="2340" w:type="dxa"/>
            <w:tcBorders>
              <w:left w:val="single" w:sz="8" w:space="0" w:color="7BA0CD" w:themeColor="accent1" w:themeTint="BF"/>
              <w:right w:val="single" w:sz="8" w:space="0" w:color="7BA0CD" w:themeColor="accent1" w:themeTint="BF"/>
            </w:tcBorders>
          </w:tcPr>
          <w:p w14:paraId="39F2AB97" w14:textId="24F0FBF7"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Administrative Services Managers</w:t>
            </w:r>
          </w:p>
        </w:tc>
        <w:tc>
          <w:tcPr>
            <w:tcW w:w="1080" w:type="dxa"/>
            <w:tcBorders>
              <w:left w:val="single" w:sz="8" w:space="0" w:color="7BA0CD" w:themeColor="accent1" w:themeTint="BF"/>
              <w:right w:val="single" w:sz="8" w:space="0" w:color="7BA0CD" w:themeColor="accent1" w:themeTint="BF"/>
            </w:tcBorders>
          </w:tcPr>
          <w:p w14:paraId="2DAD8EAE" w14:textId="115E7C8D"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0.96</w:t>
            </w:r>
          </w:p>
        </w:tc>
        <w:tc>
          <w:tcPr>
            <w:tcW w:w="900" w:type="dxa"/>
            <w:tcBorders>
              <w:left w:val="single" w:sz="8" w:space="0" w:color="7BA0CD" w:themeColor="accent1" w:themeTint="BF"/>
              <w:right w:val="single" w:sz="8" w:space="0" w:color="7BA0CD" w:themeColor="accent1" w:themeTint="BF"/>
            </w:tcBorders>
          </w:tcPr>
          <w:p w14:paraId="76478658" w14:textId="676B04C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48</w:t>
            </w:r>
          </w:p>
        </w:tc>
        <w:tc>
          <w:tcPr>
            <w:tcW w:w="900" w:type="dxa"/>
            <w:tcBorders>
              <w:left w:val="single" w:sz="8" w:space="0" w:color="7BA0CD" w:themeColor="accent1" w:themeTint="BF"/>
            </w:tcBorders>
          </w:tcPr>
          <w:p w14:paraId="30F9D5B5" w14:textId="6036B90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59</w:t>
            </w:r>
          </w:p>
        </w:tc>
      </w:tr>
      <w:tr w:rsidR="00794210" w:rsidRPr="00A07E93" w14:paraId="0363B79D"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8E8AE71" w14:textId="07A6CBA8"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178E531" w14:textId="33613F9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5FD4EDD" w14:textId="197C4CD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11-3051</w:t>
            </w:r>
          </w:p>
        </w:tc>
        <w:tc>
          <w:tcPr>
            <w:tcW w:w="2340" w:type="dxa"/>
            <w:tcBorders>
              <w:left w:val="single" w:sz="8" w:space="0" w:color="7BA0CD" w:themeColor="accent1" w:themeTint="BF"/>
              <w:right w:val="single" w:sz="8" w:space="0" w:color="7BA0CD" w:themeColor="accent1" w:themeTint="BF"/>
            </w:tcBorders>
          </w:tcPr>
          <w:p w14:paraId="61C72164" w14:textId="7E6BF400"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Industrial Production Managers</w:t>
            </w:r>
          </w:p>
        </w:tc>
        <w:tc>
          <w:tcPr>
            <w:tcW w:w="1080" w:type="dxa"/>
            <w:tcBorders>
              <w:left w:val="single" w:sz="8" w:space="0" w:color="7BA0CD" w:themeColor="accent1" w:themeTint="BF"/>
              <w:right w:val="single" w:sz="8" w:space="0" w:color="7BA0CD" w:themeColor="accent1" w:themeTint="BF"/>
            </w:tcBorders>
          </w:tcPr>
          <w:p w14:paraId="2F58E081" w14:textId="5C754A8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0.98</w:t>
            </w:r>
          </w:p>
        </w:tc>
        <w:tc>
          <w:tcPr>
            <w:tcW w:w="900" w:type="dxa"/>
            <w:tcBorders>
              <w:left w:val="single" w:sz="8" w:space="0" w:color="7BA0CD" w:themeColor="accent1" w:themeTint="BF"/>
              <w:right w:val="single" w:sz="8" w:space="0" w:color="7BA0CD" w:themeColor="accent1" w:themeTint="BF"/>
            </w:tcBorders>
          </w:tcPr>
          <w:p w14:paraId="7FA99345" w14:textId="2068D1F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47</w:t>
            </w:r>
          </w:p>
        </w:tc>
        <w:tc>
          <w:tcPr>
            <w:tcW w:w="900" w:type="dxa"/>
            <w:tcBorders>
              <w:left w:val="single" w:sz="8" w:space="0" w:color="7BA0CD" w:themeColor="accent1" w:themeTint="BF"/>
            </w:tcBorders>
          </w:tcPr>
          <w:p w14:paraId="2783B92D" w14:textId="156ABB3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56</w:t>
            </w:r>
          </w:p>
        </w:tc>
      </w:tr>
      <w:tr w:rsidR="00794210" w:rsidRPr="00A07E93" w14:paraId="609717F1"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21FA9C9" w14:textId="72DE62AF"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3C145F6" w14:textId="483706A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8A59BD9" w14:textId="45AE391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11-3071</w:t>
            </w:r>
          </w:p>
        </w:tc>
        <w:tc>
          <w:tcPr>
            <w:tcW w:w="2340" w:type="dxa"/>
            <w:tcBorders>
              <w:left w:val="single" w:sz="8" w:space="0" w:color="7BA0CD" w:themeColor="accent1" w:themeTint="BF"/>
              <w:right w:val="single" w:sz="8" w:space="0" w:color="7BA0CD" w:themeColor="accent1" w:themeTint="BF"/>
            </w:tcBorders>
          </w:tcPr>
          <w:p w14:paraId="0458CE7E" w14:textId="23A6D8F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Transportation, Storage, and Distribution Managers</w:t>
            </w:r>
          </w:p>
        </w:tc>
        <w:tc>
          <w:tcPr>
            <w:tcW w:w="1080" w:type="dxa"/>
            <w:tcBorders>
              <w:left w:val="single" w:sz="8" w:space="0" w:color="7BA0CD" w:themeColor="accent1" w:themeTint="BF"/>
              <w:right w:val="single" w:sz="8" w:space="0" w:color="7BA0CD" w:themeColor="accent1" w:themeTint="BF"/>
            </w:tcBorders>
          </w:tcPr>
          <w:p w14:paraId="5DF67896" w14:textId="54133F5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0.96</w:t>
            </w:r>
          </w:p>
        </w:tc>
        <w:tc>
          <w:tcPr>
            <w:tcW w:w="900" w:type="dxa"/>
            <w:tcBorders>
              <w:left w:val="single" w:sz="8" w:space="0" w:color="7BA0CD" w:themeColor="accent1" w:themeTint="BF"/>
              <w:right w:val="single" w:sz="8" w:space="0" w:color="7BA0CD" w:themeColor="accent1" w:themeTint="BF"/>
            </w:tcBorders>
          </w:tcPr>
          <w:p w14:paraId="537CF0E7" w14:textId="6F4D8D2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63</w:t>
            </w:r>
          </w:p>
        </w:tc>
        <w:tc>
          <w:tcPr>
            <w:tcW w:w="900" w:type="dxa"/>
            <w:tcBorders>
              <w:left w:val="single" w:sz="8" w:space="0" w:color="7BA0CD" w:themeColor="accent1" w:themeTint="BF"/>
            </w:tcBorders>
          </w:tcPr>
          <w:p w14:paraId="7B32A2A9" w14:textId="72A4526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71</w:t>
            </w:r>
          </w:p>
        </w:tc>
      </w:tr>
      <w:tr w:rsidR="00794210" w:rsidRPr="00A07E93" w14:paraId="7D1BD76E"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BE91E14" w14:textId="557EE745"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9339AFD" w14:textId="10E9F96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BCDBED1" w14:textId="0ED4674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11-9021</w:t>
            </w:r>
          </w:p>
        </w:tc>
        <w:tc>
          <w:tcPr>
            <w:tcW w:w="2340" w:type="dxa"/>
            <w:tcBorders>
              <w:left w:val="single" w:sz="8" w:space="0" w:color="7BA0CD" w:themeColor="accent1" w:themeTint="BF"/>
              <w:right w:val="single" w:sz="8" w:space="0" w:color="7BA0CD" w:themeColor="accent1" w:themeTint="BF"/>
            </w:tcBorders>
          </w:tcPr>
          <w:p w14:paraId="0F1E28C7" w14:textId="2631C7B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Construction Managers</w:t>
            </w:r>
          </w:p>
        </w:tc>
        <w:tc>
          <w:tcPr>
            <w:tcW w:w="1080" w:type="dxa"/>
            <w:tcBorders>
              <w:left w:val="single" w:sz="8" w:space="0" w:color="7BA0CD" w:themeColor="accent1" w:themeTint="BF"/>
              <w:right w:val="single" w:sz="8" w:space="0" w:color="7BA0CD" w:themeColor="accent1" w:themeTint="BF"/>
            </w:tcBorders>
          </w:tcPr>
          <w:p w14:paraId="130F0D66" w14:textId="1586CA2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0.92</w:t>
            </w:r>
          </w:p>
        </w:tc>
        <w:tc>
          <w:tcPr>
            <w:tcW w:w="900" w:type="dxa"/>
            <w:tcBorders>
              <w:left w:val="single" w:sz="8" w:space="0" w:color="7BA0CD" w:themeColor="accent1" w:themeTint="BF"/>
              <w:right w:val="single" w:sz="8" w:space="0" w:color="7BA0CD" w:themeColor="accent1" w:themeTint="BF"/>
            </w:tcBorders>
          </w:tcPr>
          <w:p w14:paraId="4381B0E3" w14:textId="3D02706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59</w:t>
            </w:r>
          </w:p>
        </w:tc>
        <w:tc>
          <w:tcPr>
            <w:tcW w:w="900" w:type="dxa"/>
            <w:tcBorders>
              <w:left w:val="single" w:sz="8" w:space="0" w:color="7BA0CD" w:themeColor="accent1" w:themeTint="BF"/>
            </w:tcBorders>
          </w:tcPr>
          <w:p w14:paraId="616BBC18" w14:textId="4186860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66</w:t>
            </w:r>
          </w:p>
        </w:tc>
      </w:tr>
      <w:tr w:rsidR="00794210" w:rsidRPr="00A07E93" w14:paraId="51C6A8B4"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1C39971" w14:textId="15A2B535"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7E25935" w14:textId="2C47273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1851D96" w14:textId="5E9A008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11-9151</w:t>
            </w:r>
          </w:p>
        </w:tc>
        <w:tc>
          <w:tcPr>
            <w:tcW w:w="2340" w:type="dxa"/>
            <w:tcBorders>
              <w:left w:val="single" w:sz="8" w:space="0" w:color="7BA0CD" w:themeColor="accent1" w:themeTint="BF"/>
              <w:right w:val="single" w:sz="8" w:space="0" w:color="7BA0CD" w:themeColor="accent1" w:themeTint="BF"/>
            </w:tcBorders>
          </w:tcPr>
          <w:p w14:paraId="6ACCBEC2" w14:textId="4D08730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Social and Community Service Managers</w:t>
            </w:r>
          </w:p>
        </w:tc>
        <w:tc>
          <w:tcPr>
            <w:tcW w:w="1080" w:type="dxa"/>
            <w:tcBorders>
              <w:left w:val="single" w:sz="8" w:space="0" w:color="7BA0CD" w:themeColor="accent1" w:themeTint="BF"/>
              <w:right w:val="single" w:sz="8" w:space="0" w:color="7BA0CD" w:themeColor="accent1" w:themeTint="BF"/>
            </w:tcBorders>
          </w:tcPr>
          <w:p w14:paraId="4BBF0C51" w14:textId="08CEEC7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0.86</w:t>
            </w:r>
          </w:p>
        </w:tc>
        <w:tc>
          <w:tcPr>
            <w:tcW w:w="900" w:type="dxa"/>
            <w:tcBorders>
              <w:left w:val="single" w:sz="8" w:space="0" w:color="7BA0CD" w:themeColor="accent1" w:themeTint="BF"/>
              <w:right w:val="single" w:sz="8" w:space="0" w:color="7BA0CD" w:themeColor="accent1" w:themeTint="BF"/>
            </w:tcBorders>
          </w:tcPr>
          <w:p w14:paraId="7B485DC2" w14:textId="6DE7164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25</w:t>
            </w:r>
          </w:p>
        </w:tc>
        <w:tc>
          <w:tcPr>
            <w:tcW w:w="900" w:type="dxa"/>
            <w:tcBorders>
              <w:left w:val="single" w:sz="8" w:space="0" w:color="7BA0CD" w:themeColor="accent1" w:themeTint="BF"/>
            </w:tcBorders>
          </w:tcPr>
          <w:p w14:paraId="2241CF9E" w14:textId="56B1F5A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31</w:t>
            </w:r>
          </w:p>
        </w:tc>
      </w:tr>
      <w:tr w:rsidR="00794210" w:rsidRPr="00A07E93" w14:paraId="2936DEBF"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6745018" w14:textId="1BF92492"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7319538" w14:textId="5A8EE4F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436396B" w14:textId="07782D1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11-9199</w:t>
            </w:r>
          </w:p>
        </w:tc>
        <w:tc>
          <w:tcPr>
            <w:tcW w:w="2340" w:type="dxa"/>
            <w:tcBorders>
              <w:left w:val="single" w:sz="8" w:space="0" w:color="7BA0CD" w:themeColor="accent1" w:themeTint="BF"/>
              <w:right w:val="single" w:sz="8" w:space="0" w:color="7BA0CD" w:themeColor="accent1" w:themeTint="BF"/>
            </w:tcBorders>
          </w:tcPr>
          <w:p w14:paraId="0F45A0EE" w14:textId="2899C53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Managers, All Other</w:t>
            </w:r>
          </w:p>
        </w:tc>
        <w:tc>
          <w:tcPr>
            <w:tcW w:w="1080" w:type="dxa"/>
            <w:tcBorders>
              <w:left w:val="single" w:sz="8" w:space="0" w:color="7BA0CD" w:themeColor="accent1" w:themeTint="BF"/>
              <w:right w:val="single" w:sz="8" w:space="0" w:color="7BA0CD" w:themeColor="accent1" w:themeTint="BF"/>
            </w:tcBorders>
          </w:tcPr>
          <w:p w14:paraId="7D3B82E1" w14:textId="534CBAF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0.89</w:t>
            </w:r>
          </w:p>
        </w:tc>
        <w:tc>
          <w:tcPr>
            <w:tcW w:w="900" w:type="dxa"/>
            <w:tcBorders>
              <w:left w:val="single" w:sz="8" w:space="0" w:color="7BA0CD" w:themeColor="accent1" w:themeTint="BF"/>
              <w:right w:val="single" w:sz="8" w:space="0" w:color="7BA0CD" w:themeColor="accent1" w:themeTint="BF"/>
            </w:tcBorders>
          </w:tcPr>
          <w:p w14:paraId="6F18E952" w14:textId="4F297F7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38</w:t>
            </w:r>
          </w:p>
        </w:tc>
        <w:tc>
          <w:tcPr>
            <w:tcW w:w="900" w:type="dxa"/>
            <w:tcBorders>
              <w:left w:val="single" w:sz="8" w:space="0" w:color="7BA0CD" w:themeColor="accent1" w:themeTint="BF"/>
            </w:tcBorders>
          </w:tcPr>
          <w:p w14:paraId="29BBEB19" w14:textId="3A3D36BF"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46</w:t>
            </w:r>
          </w:p>
        </w:tc>
      </w:tr>
      <w:tr w:rsidR="00794210" w:rsidRPr="00A07E93" w14:paraId="594785D2"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5EA33C8" w14:textId="38CF80E8" w:rsidR="00794210" w:rsidRPr="004F20A7" w:rsidRDefault="00794210" w:rsidP="00CF4D11">
            <w:pPr>
              <w:pStyle w:val="Tablenormalleft"/>
              <w:keepNext w:val="0"/>
              <w:widowControl w:val="0"/>
              <w:jc w:val="left"/>
              <w:rPr>
                <w:szCs w:val="18"/>
              </w:rPr>
            </w:pPr>
            <w:r w:rsidRPr="00A304D0">
              <w:lastRenderedPageBreak/>
              <w:t xml:space="preserve"> </w:t>
            </w:r>
          </w:p>
        </w:tc>
        <w:tc>
          <w:tcPr>
            <w:tcW w:w="2340" w:type="dxa"/>
            <w:tcBorders>
              <w:left w:val="single" w:sz="8" w:space="0" w:color="7BA0CD" w:themeColor="accent1" w:themeTint="BF"/>
              <w:right w:val="single" w:sz="8" w:space="0" w:color="7BA0CD" w:themeColor="accent1" w:themeTint="BF"/>
            </w:tcBorders>
          </w:tcPr>
          <w:p w14:paraId="04D12340" w14:textId="595A1BA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6420C70" w14:textId="54DC0B5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13-1051</w:t>
            </w:r>
          </w:p>
        </w:tc>
        <w:tc>
          <w:tcPr>
            <w:tcW w:w="2340" w:type="dxa"/>
            <w:tcBorders>
              <w:left w:val="single" w:sz="8" w:space="0" w:color="7BA0CD" w:themeColor="accent1" w:themeTint="BF"/>
              <w:right w:val="single" w:sz="8" w:space="0" w:color="7BA0CD" w:themeColor="accent1" w:themeTint="BF"/>
            </w:tcBorders>
          </w:tcPr>
          <w:p w14:paraId="0EE41BC0" w14:textId="79E61A70"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Cost Estimators</w:t>
            </w:r>
          </w:p>
        </w:tc>
        <w:tc>
          <w:tcPr>
            <w:tcW w:w="1080" w:type="dxa"/>
            <w:tcBorders>
              <w:left w:val="single" w:sz="8" w:space="0" w:color="7BA0CD" w:themeColor="accent1" w:themeTint="BF"/>
              <w:right w:val="single" w:sz="8" w:space="0" w:color="7BA0CD" w:themeColor="accent1" w:themeTint="BF"/>
            </w:tcBorders>
          </w:tcPr>
          <w:p w14:paraId="60096047" w14:textId="5F1C9C8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0.92</w:t>
            </w:r>
          </w:p>
        </w:tc>
        <w:tc>
          <w:tcPr>
            <w:tcW w:w="900" w:type="dxa"/>
            <w:tcBorders>
              <w:left w:val="single" w:sz="8" w:space="0" w:color="7BA0CD" w:themeColor="accent1" w:themeTint="BF"/>
              <w:right w:val="single" w:sz="8" w:space="0" w:color="7BA0CD" w:themeColor="accent1" w:themeTint="BF"/>
            </w:tcBorders>
          </w:tcPr>
          <w:p w14:paraId="62BF613A" w14:textId="0A610E3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55</w:t>
            </w:r>
          </w:p>
        </w:tc>
        <w:tc>
          <w:tcPr>
            <w:tcW w:w="900" w:type="dxa"/>
            <w:tcBorders>
              <w:left w:val="single" w:sz="8" w:space="0" w:color="7BA0CD" w:themeColor="accent1" w:themeTint="BF"/>
            </w:tcBorders>
          </w:tcPr>
          <w:p w14:paraId="6301DB50" w14:textId="748D3E1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67</w:t>
            </w:r>
          </w:p>
        </w:tc>
      </w:tr>
      <w:tr w:rsidR="00794210" w:rsidRPr="00A07E93" w14:paraId="54BAA056"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2D22894" w14:textId="58132C3B"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36B80FF" w14:textId="50E438C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E407834" w14:textId="5589426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13-1111</w:t>
            </w:r>
          </w:p>
        </w:tc>
        <w:tc>
          <w:tcPr>
            <w:tcW w:w="2340" w:type="dxa"/>
            <w:tcBorders>
              <w:left w:val="single" w:sz="8" w:space="0" w:color="7BA0CD" w:themeColor="accent1" w:themeTint="BF"/>
              <w:right w:val="single" w:sz="8" w:space="0" w:color="7BA0CD" w:themeColor="accent1" w:themeTint="BF"/>
            </w:tcBorders>
          </w:tcPr>
          <w:p w14:paraId="2A5013E5" w14:textId="7E237C1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Management Analysts</w:t>
            </w:r>
          </w:p>
        </w:tc>
        <w:tc>
          <w:tcPr>
            <w:tcW w:w="1080" w:type="dxa"/>
            <w:tcBorders>
              <w:left w:val="single" w:sz="8" w:space="0" w:color="7BA0CD" w:themeColor="accent1" w:themeTint="BF"/>
              <w:right w:val="single" w:sz="8" w:space="0" w:color="7BA0CD" w:themeColor="accent1" w:themeTint="BF"/>
            </w:tcBorders>
          </w:tcPr>
          <w:p w14:paraId="5D180A16" w14:textId="15FEE96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0.96</w:t>
            </w:r>
          </w:p>
        </w:tc>
        <w:tc>
          <w:tcPr>
            <w:tcW w:w="900" w:type="dxa"/>
            <w:tcBorders>
              <w:left w:val="single" w:sz="8" w:space="0" w:color="7BA0CD" w:themeColor="accent1" w:themeTint="BF"/>
              <w:right w:val="single" w:sz="8" w:space="0" w:color="7BA0CD" w:themeColor="accent1" w:themeTint="BF"/>
            </w:tcBorders>
          </w:tcPr>
          <w:p w14:paraId="7E47DC48" w14:textId="77F52DC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18</w:t>
            </w:r>
          </w:p>
        </w:tc>
        <w:tc>
          <w:tcPr>
            <w:tcW w:w="900" w:type="dxa"/>
            <w:tcBorders>
              <w:left w:val="single" w:sz="8" w:space="0" w:color="7BA0CD" w:themeColor="accent1" w:themeTint="BF"/>
            </w:tcBorders>
          </w:tcPr>
          <w:p w14:paraId="25DAC4BF" w14:textId="0F16B1A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23</w:t>
            </w:r>
          </w:p>
        </w:tc>
      </w:tr>
      <w:tr w:rsidR="00794210" w:rsidRPr="00A07E93" w14:paraId="05FDE8A1"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A5A40AD" w14:textId="0A3FF82F"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36FF83B" w14:textId="2E076E9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9929892" w14:textId="5F42199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37-1011</w:t>
            </w:r>
          </w:p>
        </w:tc>
        <w:tc>
          <w:tcPr>
            <w:tcW w:w="2340" w:type="dxa"/>
            <w:tcBorders>
              <w:left w:val="single" w:sz="8" w:space="0" w:color="7BA0CD" w:themeColor="accent1" w:themeTint="BF"/>
              <w:right w:val="single" w:sz="8" w:space="0" w:color="7BA0CD" w:themeColor="accent1" w:themeTint="BF"/>
            </w:tcBorders>
          </w:tcPr>
          <w:p w14:paraId="17F3E82B" w14:textId="75F51A3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First-Line Supervisors of Housekeeping and Janitorial Workers</w:t>
            </w:r>
          </w:p>
        </w:tc>
        <w:tc>
          <w:tcPr>
            <w:tcW w:w="1080" w:type="dxa"/>
            <w:tcBorders>
              <w:left w:val="single" w:sz="8" w:space="0" w:color="7BA0CD" w:themeColor="accent1" w:themeTint="BF"/>
              <w:right w:val="single" w:sz="8" w:space="0" w:color="7BA0CD" w:themeColor="accent1" w:themeTint="BF"/>
            </w:tcBorders>
          </w:tcPr>
          <w:p w14:paraId="031E65E8" w14:textId="79421A1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0.95</w:t>
            </w:r>
          </w:p>
        </w:tc>
        <w:tc>
          <w:tcPr>
            <w:tcW w:w="900" w:type="dxa"/>
            <w:tcBorders>
              <w:left w:val="single" w:sz="8" w:space="0" w:color="7BA0CD" w:themeColor="accent1" w:themeTint="BF"/>
              <w:right w:val="single" w:sz="8" w:space="0" w:color="7BA0CD" w:themeColor="accent1" w:themeTint="BF"/>
            </w:tcBorders>
          </w:tcPr>
          <w:p w14:paraId="4038362B" w14:textId="311B884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83</w:t>
            </w:r>
          </w:p>
        </w:tc>
        <w:tc>
          <w:tcPr>
            <w:tcW w:w="900" w:type="dxa"/>
            <w:tcBorders>
              <w:left w:val="single" w:sz="8" w:space="0" w:color="7BA0CD" w:themeColor="accent1" w:themeTint="BF"/>
            </w:tcBorders>
          </w:tcPr>
          <w:p w14:paraId="4782F500" w14:textId="1FAA288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89</w:t>
            </w:r>
          </w:p>
        </w:tc>
      </w:tr>
      <w:tr w:rsidR="00794210" w:rsidRPr="00A07E93" w14:paraId="3C178FDD"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17B86F1" w14:textId="4B043801"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AF4700A" w14:textId="2858D5D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E7B1B16" w14:textId="4F58D8B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39-1011</w:t>
            </w:r>
          </w:p>
        </w:tc>
        <w:tc>
          <w:tcPr>
            <w:tcW w:w="2340" w:type="dxa"/>
            <w:tcBorders>
              <w:left w:val="single" w:sz="8" w:space="0" w:color="7BA0CD" w:themeColor="accent1" w:themeTint="BF"/>
              <w:right w:val="single" w:sz="8" w:space="0" w:color="7BA0CD" w:themeColor="accent1" w:themeTint="BF"/>
            </w:tcBorders>
          </w:tcPr>
          <w:p w14:paraId="23CAC5C7" w14:textId="0312768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Gaming Supervisors</w:t>
            </w:r>
          </w:p>
        </w:tc>
        <w:tc>
          <w:tcPr>
            <w:tcW w:w="1080" w:type="dxa"/>
            <w:tcBorders>
              <w:left w:val="single" w:sz="8" w:space="0" w:color="7BA0CD" w:themeColor="accent1" w:themeTint="BF"/>
              <w:right w:val="single" w:sz="8" w:space="0" w:color="7BA0CD" w:themeColor="accent1" w:themeTint="BF"/>
            </w:tcBorders>
          </w:tcPr>
          <w:p w14:paraId="35123245" w14:textId="6FE5068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0.95</w:t>
            </w:r>
          </w:p>
        </w:tc>
        <w:tc>
          <w:tcPr>
            <w:tcW w:w="900" w:type="dxa"/>
            <w:tcBorders>
              <w:left w:val="single" w:sz="8" w:space="0" w:color="7BA0CD" w:themeColor="accent1" w:themeTint="BF"/>
              <w:right w:val="single" w:sz="8" w:space="0" w:color="7BA0CD" w:themeColor="accent1" w:themeTint="BF"/>
            </w:tcBorders>
          </w:tcPr>
          <w:p w14:paraId="161F45C7" w14:textId="4240BC5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58</w:t>
            </w:r>
          </w:p>
        </w:tc>
        <w:tc>
          <w:tcPr>
            <w:tcW w:w="900" w:type="dxa"/>
            <w:tcBorders>
              <w:left w:val="single" w:sz="8" w:space="0" w:color="7BA0CD" w:themeColor="accent1" w:themeTint="BF"/>
            </w:tcBorders>
          </w:tcPr>
          <w:p w14:paraId="48C4AC6C" w14:textId="79E3A289"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68</w:t>
            </w:r>
          </w:p>
        </w:tc>
      </w:tr>
      <w:tr w:rsidR="00794210" w:rsidRPr="00A07E93" w14:paraId="1E60032B"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EF6E8F3" w14:textId="70717296"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153A00D" w14:textId="50CE302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02FCA3E" w14:textId="11F1F14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39-1021</w:t>
            </w:r>
          </w:p>
        </w:tc>
        <w:tc>
          <w:tcPr>
            <w:tcW w:w="2340" w:type="dxa"/>
            <w:tcBorders>
              <w:left w:val="single" w:sz="8" w:space="0" w:color="7BA0CD" w:themeColor="accent1" w:themeTint="BF"/>
              <w:right w:val="single" w:sz="8" w:space="0" w:color="7BA0CD" w:themeColor="accent1" w:themeTint="BF"/>
            </w:tcBorders>
          </w:tcPr>
          <w:p w14:paraId="546E9D37" w14:textId="0835332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First-Line Supervisors of Personal Service Workers</w:t>
            </w:r>
          </w:p>
        </w:tc>
        <w:tc>
          <w:tcPr>
            <w:tcW w:w="1080" w:type="dxa"/>
            <w:tcBorders>
              <w:left w:val="single" w:sz="8" w:space="0" w:color="7BA0CD" w:themeColor="accent1" w:themeTint="BF"/>
              <w:right w:val="single" w:sz="8" w:space="0" w:color="7BA0CD" w:themeColor="accent1" w:themeTint="BF"/>
            </w:tcBorders>
          </w:tcPr>
          <w:p w14:paraId="32922804" w14:textId="07187B8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0.95</w:t>
            </w:r>
          </w:p>
        </w:tc>
        <w:tc>
          <w:tcPr>
            <w:tcW w:w="900" w:type="dxa"/>
            <w:tcBorders>
              <w:left w:val="single" w:sz="8" w:space="0" w:color="7BA0CD" w:themeColor="accent1" w:themeTint="BF"/>
              <w:right w:val="single" w:sz="8" w:space="0" w:color="7BA0CD" w:themeColor="accent1" w:themeTint="BF"/>
            </w:tcBorders>
          </w:tcPr>
          <w:p w14:paraId="2C15DD8C" w14:textId="348F347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64</w:t>
            </w:r>
          </w:p>
        </w:tc>
        <w:tc>
          <w:tcPr>
            <w:tcW w:w="900" w:type="dxa"/>
            <w:tcBorders>
              <w:left w:val="single" w:sz="8" w:space="0" w:color="7BA0CD" w:themeColor="accent1" w:themeTint="BF"/>
            </w:tcBorders>
          </w:tcPr>
          <w:p w14:paraId="5DE11142" w14:textId="5AFACA54"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74</w:t>
            </w:r>
          </w:p>
        </w:tc>
      </w:tr>
      <w:tr w:rsidR="00794210" w:rsidRPr="00A07E93" w14:paraId="5616919F"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4665B91" w14:textId="37A21E55" w:rsidR="00794210" w:rsidRPr="004F20A7" w:rsidRDefault="00794210" w:rsidP="00CF4D11">
            <w:pPr>
              <w:pStyle w:val="Tablenormalleft"/>
              <w:keepNext w:val="0"/>
              <w:widowControl w:val="0"/>
              <w:jc w:val="left"/>
              <w:rPr>
                <w:color w:val="000000"/>
                <w:szCs w:val="18"/>
              </w:rPr>
            </w:pPr>
            <w:r w:rsidRPr="00A304D0">
              <w:t>52.0301</w:t>
            </w:r>
          </w:p>
        </w:tc>
        <w:tc>
          <w:tcPr>
            <w:tcW w:w="2340" w:type="dxa"/>
            <w:tcBorders>
              <w:left w:val="single" w:sz="8" w:space="0" w:color="7BA0CD" w:themeColor="accent1" w:themeTint="BF"/>
              <w:right w:val="single" w:sz="8" w:space="0" w:color="7BA0CD" w:themeColor="accent1" w:themeTint="BF"/>
            </w:tcBorders>
          </w:tcPr>
          <w:p w14:paraId="45D3A670" w14:textId="7EC020A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Accounting</w:t>
            </w:r>
          </w:p>
        </w:tc>
        <w:tc>
          <w:tcPr>
            <w:tcW w:w="900" w:type="dxa"/>
            <w:tcBorders>
              <w:left w:val="single" w:sz="8" w:space="0" w:color="7BA0CD" w:themeColor="accent1" w:themeTint="BF"/>
              <w:right w:val="single" w:sz="8" w:space="0" w:color="7BA0CD" w:themeColor="accent1" w:themeTint="BF"/>
            </w:tcBorders>
          </w:tcPr>
          <w:p w14:paraId="63A4EB94" w14:textId="080DE73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13-2011</w:t>
            </w:r>
          </w:p>
        </w:tc>
        <w:tc>
          <w:tcPr>
            <w:tcW w:w="2340" w:type="dxa"/>
            <w:tcBorders>
              <w:left w:val="single" w:sz="8" w:space="0" w:color="7BA0CD" w:themeColor="accent1" w:themeTint="BF"/>
              <w:right w:val="single" w:sz="8" w:space="0" w:color="7BA0CD" w:themeColor="accent1" w:themeTint="BF"/>
            </w:tcBorders>
          </w:tcPr>
          <w:p w14:paraId="48EE8540" w14:textId="62BA744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Accountants and Auditors</w:t>
            </w:r>
          </w:p>
        </w:tc>
        <w:tc>
          <w:tcPr>
            <w:tcW w:w="1080" w:type="dxa"/>
            <w:tcBorders>
              <w:left w:val="single" w:sz="8" w:space="0" w:color="7BA0CD" w:themeColor="accent1" w:themeTint="BF"/>
              <w:right w:val="single" w:sz="8" w:space="0" w:color="7BA0CD" w:themeColor="accent1" w:themeTint="BF"/>
            </w:tcBorders>
          </w:tcPr>
          <w:p w14:paraId="017AC517" w14:textId="2C971839"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0.34</w:t>
            </w:r>
          </w:p>
        </w:tc>
        <w:tc>
          <w:tcPr>
            <w:tcW w:w="900" w:type="dxa"/>
            <w:tcBorders>
              <w:left w:val="single" w:sz="8" w:space="0" w:color="7BA0CD" w:themeColor="accent1" w:themeTint="BF"/>
              <w:right w:val="single" w:sz="8" w:space="0" w:color="7BA0CD" w:themeColor="accent1" w:themeTint="BF"/>
            </w:tcBorders>
          </w:tcPr>
          <w:p w14:paraId="5DE7B8DA" w14:textId="168073E1"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12</w:t>
            </w:r>
          </w:p>
        </w:tc>
        <w:tc>
          <w:tcPr>
            <w:tcW w:w="900" w:type="dxa"/>
            <w:tcBorders>
              <w:left w:val="single" w:sz="8" w:space="0" w:color="7BA0CD" w:themeColor="accent1" w:themeTint="BF"/>
            </w:tcBorders>
          </w:tcPr>
          <w:p w14:paraId="1DAB7790" w14:textId="2C4771A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22</w:t>
            </w:r>
          </w:p>
        </w:tc>
      </w:tr>
      <w:tr w:rsidR="00794210" w:rsidRPr="00A07E93" w14:paraId="59ED81B6"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ADD7773" w14:textId="7E3E41D8"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D3C45D3" w14:textId="4B11E00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C4FA1B1" w14:textId="4DCB9B3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13-2031</w:t>
            </w:r>
          </w:p>
        </w:tc>
        <w:tc>
          <w:tcPr>
            <w:tcW w:w="2340" w:type="dxa"/>
            <w:tcBorders>
              <w:left w:val="single" w:sz="8" w:space="0" w:color="7BA0CD" w:themeColor="accent1" w:themeTint="BF"/>
              <w:right w:val="single" w:sz="8" w:space="0" w:color="7BA0CD" w:themeColor="accent1" w:themeTint="BF"/>
            </w:tcBorders>
          </w:tcPr>
          <w:p w14:paraId="45FAEEAC" w14:textId="4C330A1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Budget Analysts</w:t>
            </w:r>
          </w:p>
        </w:tc>
        <w:tc>
          <w:tcPr>
            <w:tcW w:w="1080" w:type="dxa"/>
            <w:tcBorders>
              <w:left w:val="single" w:sz="8" w:space="0" w:color="7BA0CD" w:themeColor="accent1" w:themeTint="BF"/>
              <w:right w:val="single" w:sz="8" w:space="0" w:color="7BA0CD" w:themeColor="accent1" w:themeTint="BF"/>
            </w:tcBorders>
          </w:tcPr>
          <w:p w14:paraId="46A32190" w14:textId="02F1262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0.95</w:t>
            </w:r>
          </w:p>
        </w:tc>
        <w:tc>
          <w:tcPr>
            <w:tcW w:w="900" w:type="dxa"/>
            <w:tcBorders>
              <w:left w:val="single" w:sz="8" w:space="0" w:color="7BA0CD" w:themeColor="accent1" w:themeTint="BF"/>
              <w:right w:val="single" w:sz="8" w:space="0" w:color="7BA0CD" w:themeColor="accent1" w:themeTint="BF"/>
            </w:tcBorders>
          </w:tcPr>
          <w:p w14:paraId="7B4B6C6C" w14:textId="6622070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23</w:t>
            </w:r>
          </w:p>
        </w:tc>
        <w:tc>
          <w:tcPr>
            <w:tcW w:w="900" w:type="dxa"/>
            <w:tcBorders>
              <w:left w:val="single" w:sz="8" w:space="0" w:color="7BA0CD" w:themeColor="accent1" w:themeTint="BF"/>
            </w:tcBorders>
          </w:tcPr>
          <w:p w14:paraId="178B66A5" w14:textId="6D41846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32</w:t>
            </w:r>
          </w:p>
        </w:tc>
      </w:tr>
      <w:tr w:rsidR="00794210" w:rsidRPr="00A07E93" w14:paraId="29C8CBD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795FEAF" w14:textId="5A29C11C"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05831B4" w14:textId="18A7A31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2778DB8" w14:textId="41F6BC5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13-2041</w:t>
            </w:r>
          </w:p>
        </w:tc>
        <w:tc>
          <w:tcPr>
            <w:tcW w:w="2340" w:type="dxa"/>
            <w:tcBorders>
              <w:left w:val="single" w:sz="8" w:space="0" w:color="7BA0CD" w:themeColor="accent1" w:themeTint="BF"/>
              <w:right w:val="single" w:sz="8" w:space="0" w:color="7BA0CD" w:themeColor="accent1" w:themeTint="BF"/>
            </w:tcBorders>
          </w:tcPr>
          <w:p w14:paraId="6F84C90C" w14:textId="196894F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Credit Analysts</w:t>
            </w:r>
          </w:p>
        </w:tc>
        <w:tc>
          <w:tcPr>
            <w:tcW w:w="1080" w:type="dxa"/>
            <w:tcBorders>
              <w:left w:val="single" w:sz="8" w:space="0" w:color="7BA0CD" w:themeColor="accent1" w:themeTint="BF"/>
              <w:right w:val="single" w:sz="8" w:space="0" w:color="7BA0CD" w:themeColor="accent1" w:themeTint="BF"/>
            </w:tcBorders>
          </w:tcPr>
          <w:p w14:paraId="5421BF47" w14:textId="0945C23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0.95</w:t>
            </w:r>
          </w:p>
        </w:tc>
        <w:tc>
          <w:tcPr>
            <w:tcW w:w="900" w:type="dxa"/>
            <w:tcBorders>
              <w:left w:val="single" w:sz="8" w:space="0" w:color="7BA0CD" w:themeColor="accent1" w:themeTint="BF"/>
              <w:right w:val="single" w:sz="8" w:space="0" w:color="7BA0CD" w:themeColor="accent1" w:themeTint="BF"/>
            </w:tcBorders>
          </w:tcPr>
          <w:p w14:paraId="2DB3F29E" w14:textId="153145A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29</w:t>
            </w:r>
          </w:p>
        </w:tc>
        <w:tc>
          <w:tcPr>
            <w:tcW w:w="900" w:type="dxa"/>
            <w:tcBorders>
              <w:left w:val="single" w:sz="8" w:space="0" w:color="7BA0CD" w:themeColor="accent1" w:themeTint="BF"/>
            </w:tcBorders>
          </w:tcPr>
          <w:p w14:paraId="6B6F597C" w14:textId="0EAD0B8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37</w:t>
            </w:r>
          </w:p>
        </w:tc>
      </w:tr>
      <w:tr w:rsidR="00794210" w:rsidRPr="00A07E93" w14:paraId="014DBB93"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7405F82" w14:textId="1C3D0D4A"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B9CA963" w14:textId="6D5725A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41B066A" w14:textId="3758D33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13-2061</w:t>
            </w:r>
          </w:p>
        </w:tc>
        <w:tc>
          <w:tcPr>
            <w:tcW w:w="2340" w:type="dxa"/>
            <w:tcBorders>
              <w:left w:val="single" w:sz="8" w:space="0" w:color="7BA0CD" w:themeColor="accent1" w:themeTint="BF"/>
              <w:right w:val="single" w:sz="8" w:space="0" w:color="7BA0CD" w:themeColor="accent1" w:themeTint="BF"/>
            </w:tcBorders>
          </w:tcPr>
          <w:p w14:paraId="7BD20D56" w14:textId="6979186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Financial Examiners</w:t>
            </w:r>
          </w:p>
        </w:tc>
        <w:tc>
          <w:tcPr>
            <w:tcW w:w="1080" w:type="dxa"/>
            <w:tcBorders>
              <w:left w:val="single" w:sz="8" w:space="0" w:color="7BA0CD" w:themeColor="accent1" w:themeTint="BF"/>
              <w:right w:val="single" w:sz="8" w:space="0" w:color="7BA0CD" w:themeColor="accent1" w:themeTint="BF"/>
            </w:tcBorders>
          </w:tcPr>
          <w:p w14:paraId="44568D9C" w14:textId="36E4E098"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7836CC4" w14:textId="70EF712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17</w:t>
            </w:r>
          </w:p>
        </w:tc>
        <w:tc>
          <w:tcPr>
            <w:tcW w:w="900" w:type="dxa"/>
            <w:tcBorders>
              <w:left w:val="single" w:sz="8" w:space="0" w:color="7BA0CD" w:themeColor="accent1" w:themeTint="BF"/>
            </w:tcBorders>
          </w:tcPr>
          <w:p w14:paraId="17F085E7" w14:textId="104211F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20</w:t>
            </w:r>
          </w:p>
        </w:tc>
      </w:tr>
      <w:tr w:rsidR="00794210" w:rsidRPr="00A07E93" w14:paraId="1298B00E"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E21A2EA" w14:textId="0840BFF1"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B739A71" w14:textId="03ABA21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CF89F34" w14:textId="7CEA203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13-2081</w:t>
            </w:r>
          </w:p>
        </w:tc>
        <w:tc>
          <w:tcPr>
            <w:tcW w:w="2340" w:type="dxa"/>
            <w:tcBorders>
              <w:left w:val="single" w:sz="8" w:space="0" w:color="7BA0CD" w:themeColor="accent1" w:themeTint="BF"/>
              <w:right w:val="single" w:sz="8" w:space="0" w:color="7BA0CD" w:themeColor="accent1" w:themeTint="BF"/>
            </w:tcBorders>
          </w:tcPr>
          <w:p w14:paraId="19006E4A" w14:textId="0E68D67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Tax Examiners and Collectors, and Revenue Agents</w:t>
            </w:r>
          </w:p>
        </w:tc>
        <w:tc>
          <w:tcPr>
            <w:tcW w:w="1080" w:type="dxa"/>
            <w:tcBorders>
              <w:left w:val="single" w:sz="8" w:space="0" w:color="7BA0CD" w:themeColor="accent1" w:themeTint="BF"/>
              <w:right w:val="single" w:sz="8" w:space="0" w:color="7BA0CD" w:themeColor="accent1" w:themeTint="BF"/>
            </w:tcBorders>
          </w:tcPr>
          <w:p w14:paraId="4093C741" w14:textId="72DC4C29"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004FCF33" w14:textId="4F2C528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42</w:t>
            </w:r>
          </w:p>
        </w:tc>
        <w:tc>
          <w:tcPr>
            <w:tcW w:w="900" w:type="dxa"/>
            <w:tcBorders>
              <w:left w:val="single" w:sz="8" w:space="0" w:color="7BA0CD" w:themeColor="accent1" w:themeTint="BF"/>
            </w:tcBorders>
          </w:tcPr>
          <w:p w14:paraId="10CC8F0D" w14:textId="0089F19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52</w:t>
            </w:r>
          </w:p>
        </w:tc>
      </w:tr>
      <w:tr w:rsidR="00794210" w:rsidRPr="00A07E93" w14:paraId="7254E9AE"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6A6D220" w14:textId="4B3507F0" w:rsidR="00794210" w:rsidRPr="004F20A7" w:rsidRDefault="00794210" w:rsidP="00CF4D11">
            <w:pPr>
              <w:pStyle w:val="Tablenormalleft"/>
              <w:keepNext w:val="0"/>
              <w:widowControl w:val="0"/>
              <w:jc w:val="left"/>
              <w:rPr>
                <w:color w:val="000000"/>
                <w:szCs w:val="18"/>
              </w:rPr>
            </w:pPr>
            <w:r w:rsidRPr="00A304D0">
              <w:t>52.0302</w:t>
            </w:r>
          </w:p>
        </w:tc>
        <w:tc>
          <w:tcPr>
            <w:tcW w:w="2340" w:type="dxa"/>
            <w:tcBorders>
              <w:left w:val="single" w:sz="8" w:space="0" w:color="7BA0CD" w:themeColor="accent1" w:themeTint="BF"/>
              <w:right w:val="single" w:sz="8" w:space="0" w:color="7BA0CD" w:themeColor="accent1" w:themeTint="BF"/>
            </w:tcBorders>
          </w:tcPr>
          <w:p w14:paraId="48D7D4C5" w14:textId="29B9866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Accounting Technology/Technician and Bookkeeping</w:t>
            </w:r>
          </w:p>
        </w:tc>
        <w:tc>
          <w:tcPr>
            <w:tcW w:w="900" w:type="dxa"/>
            <w:tcBorders>
              <w:left w:val="single" w:sz="8" w:space="0" w:color="7BA0CD" w:themeColor="accent1" w:themeTint="BF"/>
              <w:right w:val="single" w:sz="8" w:space="0" w:color="7BA0CD" w:themeColor="accent1" w:themeTint="BF"/>
            </w:tcBorders>
          </w:tcPr>
          <w:p w14:paraId="1B0A6FFA" w14:textId="47D0497C"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13-2082</w:t>
            </w:r>
          </w:p>
        </w:tc>
        <w:tc>
          <w:tcPr>
            <w:tcW w:w="2340" w:type="dxa"/>
            <w:tcBorders>
              <w:left w:val="single" w:sz="8" w:space="0" w:color="7BA0CD" w:themeColor="accent1" w:themeTint="BF"/>
              <w:right w:val="single" w:sz="8" w:space="0" w:color="7BA0CD" w:themeColor="accent1" w:themeTint="BF"/>
            </w:tcBorders>
          </w:tcPr>
          <w:p w14:paraId="7A7690C6" w14:textId="3CE0D9B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Tax Preparers</w:t>
            </w:r>
          </w:p>
        </w:tc>
        <w:tc>
          <w:tcPr>
            <w:tcW w:w="1080" w:type="dxa"/>
            <w:tcBorders>
              <w:left w:val="single" w:sz="8" w:space="0" w:color="7BA0CD" w:themeColor="accent1" w:themeTint="BF"/>
              <w:right w:val="single" w:sz="8" w:space="0" w:color="7BA0CD" w:themeColor="accent1" w:themeTint="BF"/>
            </w:tcBorders>
          </w:tcPr>
          <w:p w14:paraId="319CFCA8" w14:textId="2B0E1A3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6E95951E" w14:textId="3B8DAFD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41</w:t>
            </w:r>
          </w:p>
        </w:tc>
        <w:tc>
          <w:tcPr>
            <w:tcW w:w="900" w:type="dxa"/>
            <w:tcBorders>
              <w:left w:val="single" w:sz="8" w:space="0" w:color="7BA0CD" w:themeColor="accent1" w:themeTint="BF"/>
            </w:tcBorders>
          </w:tcPr>
          <w:p w14:paraId="7B8682CD" w14:textId="0F49F40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50</w:t>
            </w:r>
          </w:p>
        </w:tc>
      </w:tr>
      <w:tr w:rsidR="00794210" w:rsidRPr="00A07E93" w14:paraId="314360C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E95B81D" w14:textId="4BE247E7"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0C50CC6" w14:textId="2454B09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287D268" w14:textId="1C48AD7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43-3021</w:t>
            </w:r>
          </w:p>
        </w:tc>
        <w:tc>
          <w:tcPr>
            <w:tcW w:w="2340" w:type="dxa"/>
            <w:tcBorders>
              <w:left w:val="single" w:sz="8" w:space="0" w:color="7BA0CD" w:themeColor="accent1" w:themeTint="BF"/>
              <w:right w:val="single" w:sz="8" w:space="0" w:color="7BA0CD" w:themeColor="accent1" w:themeTint="BF"/>
            </w:tcBorders>
          </w:tcPr>
          <w:p w14:paraId="5F9FCEC0" w14:textId="5D04490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Billing and Posting Clerks</w:t>
            </w:r>
          </w:p>
        </w:tc>
        <w:tc>
          <w:tcPr>
            <w:tcW w:w="1080" w:type="dxa"/>
            <w:tcBorders>
              <w:left w:val="single" w:sz="8" w:space="0" w:color="7BA0CD" w:themeColor="accent1" w:themeTint="BF"/>
              <w:right w:val="single" w:sz="8" w:space="0" w:color="7BA0CD" w:themeColor="accent1" w:themeTint="BF"/>
            </w:tcBorders>
          </w:tcPr>
          <w:p w14:paraId="10CB760B" w14:textId="3F8A778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687C32C0" w14:textId="5D49339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70</w:t>
            </w:r>
          </w:p>
        </w:tc>
        <w:tc>
          <w:tcPr>
            <w:tcW w:w="900" w:type="dxa"/>
            <w:tcBorders>
              <w:left w:val="single" w:sz="8" w:space="0" w:color="7BA0CD" w:themeColor="accent1" w:themeTint="BF"/>
            </w:tcBorders>
          </w:tcPr>
          <w:p w14:paraId="7FB3D6C6" w14:textId="7E72543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83</w:t>
            </w:r>
          </w:p>
        </w:tc>
      </w:tr>
      <w:tr w:rsidR="00794210" w:rsidRPr="00A07E93" w14:paraId="62E006BC"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0E41C31" w14:textId="7929FEAD"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A1A473C" w14:textId="63D6ABC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D2BB4EB" w14:textId="6FCDF009"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43-3031</w:t>
            </w:r>
          </w:p>
        </w:tc>
        <w:tc>
          <w:tcPr>
            <w:tcW w:w="2340" w:type="dxa"/>
            <w:tcBorders>
              <w:left w:val="single" w:sz="8" w:space="0" w:color="7BA0CD" w:themeColor="accent1" w:themeTint="BF"/>
              <w:right w:val="single" w:sz="8" w:space="0" w:color="7BA0CD" w:themeColor="accent1" w:themeTint="BF"/>
            </w:tcBorders>
          </w:tcPr>
          <w:p w14:paraId="40C884CC" w14:textId="70FD0B9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Bookkeeping, Accounting, and Auditing Clerks</w:t>
            </w:r>
          </w:p>
        </w:tc>
        <w:tc>
          <w:tcPr>
            <w:tcW w:w="1080" w:type="dxa"/>
            <w:tcBorders>
              <w:left w:val="single" w:sz="8" w:space="0" w:color="7BA0CD" w:themeColor="accent1" w:themeTint="BF"/>
              <w:right w:val="single" w:sz="8" w:space="0" w:color="7BA0CD" w:themeColor="accent1" w:themeTint="BF"/>
            </w:tcBorders>
          </w:tcPr>
          <w:p w14:paraId="679B4F76" w14:textId="2542098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0.91</w:t>
            </w:r>
          </w:p>
        </w:tc>
        <w:tc>
          <w:tcPr>
            <w:tcW w:w="900" w:type="dxa"/>
            <w:tcBorders>
              <w:left w:val="single" w:sz="8" w:space="0" w:color="7BA0CD" w:themeColor="accent1" w:themeTint="BF"/>
              <w:right w:val="single" w:sz="8" w:space="0" w:color="7BA0CD" w:themeColor="accent1" w:themeTint="BF"/>
            </w:tcBorders>
          </w:tcPr>
          <w:p w14:paraId="4C445B67" w14:textId="7846CE3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72</w:t>
            </w:r>
          </w:p>
        </w:tc>
        <w:tc>
          <w:tcPr>
            <w:tcW w:w="900" w:type="dxa"/>
            <w:tcBorders>
              <w:left w:val="single" w:sz="8" w:space="0" w:color="7BA0CD" w:themeColor="accent1" w:themeTint="BF"/>
            </w:tcBorders>
          </w:tcPr>
          <w:p w14:paraId="757349B8" w14:textId="1EC4C63B"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83</w:t>
            </w:r>
          </w:p>
        </w:tc>
      </w:tr>
      <w:tr w:rsidR="00794210" w:rsidRPr="00A07E93" w14:paraId="059CA8AD"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76F53E8" w14:textId="4B6E723F"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4F2BD8E" w14:textId="1297FB5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F5EB4FF" w14:textId="4EC761D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43-3041</w:t>
            </w:r>
          </w:p>
        </w:tc>
        <w:tc>
          <w:tcPr>
            <w:tcW w:w="2340" w:type="dxa"/>
            <w:tcBorders>
              <w:left w:val="single" w:sz="8" w:space="0" w:color="7BA0CD" w:themeColor="accent1" w:themeTint="BF"/>
              <w:right w:val="single" w:sz="8" w:space="0" w:color="7BA0CD" w:themeColor="accent1" w:themeTint="BF"/>
            </w:tcBorders>
          </w:tcPr>
          <w:p w14:paraId="2F526E42" w14:textId="7E1D4D0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Gaming Cage Workers</w:t>
            </w:r>
          </w:p>
        </w:tc>
        <w:tc>
          <w:tcPr>
            <w:tcW w:w="1080" w:type="dxa"/>
            <w:tcBorders>
              <w:left w:val="single" w:sz="8" w:space="0" w:color="7BA0CD" w:themeColor="accent1" w:themeTint="BF"/>
              <w:right w:val="single" w:sz="8" w:space="0" w:color="7BA0CD" w:themeColor="accent1" w:themeTint="BF"/>
            </w:tcBorders>
          </w:tcPr>
          <w:p w14:paraId="085CA8BB" w14:textId="0A31B09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65C1BDBC" w14:textId="5951445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82</w:t>
            </w:r>
          </w:p>
        </w:tc>
        <w:tc>
          <w:tcPr>
            <w:tcW w:w="900" w:type="dxa"/>
            <w:tcBorders>
              <w:left w:val="single" w:sz="8" w:space="0" w:color="7BA0CD" w:themeColor="accent1" w:themeTint="BF"/>
            </w:tcBorders>
          </w:tcPr>
          <w:p w14:paraId="5498D127" w14:textId="09FF72BA"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89</w:t>
            </w:r>
          </w:p>
        </w:tc>
      </w:tr>
      <w:tr w:rsidR="00794210" w:rsidRPr="00A07E93" w14:paraId="6836409A"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5FFB0B7" w14:textId="415259B4"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D2B3B58" w14:textId="5DF17477"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E9050CC" w14:textId="7B16C10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43-3051</w:t>
            </w:r>
          </w:p>
        </w:tc>
        <w:tc>
          <w:tcPr>
            <w:tcW w:w="2340" w:type="dxa"/>
            <w:tcBorders>
              <w:left w:val="single" w:sz="8" w:space="0" w:color="7BA0CD" w:themeColor="accent1" w:themeTint="BF"/>
              <w:right w:val="single" w:sz="8" w:space="0" w:color="7BA0CD" w:themeColor="accent1" w:themeTint="BF"/>
            </w:tcBorders>
          </w:tcPr>
          <w:p w14:paraId="217873EF" w14:textId="6D3C9413"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Payroll and Timekeeping Clerks</w:t>
            </w:r>
          </w:p>
        </w:tc>
        <w:tc>
          <w:tcPr>
            <w:tcW w:w="1080" w:type="dxa"/>
            <w:tcBorders>
              <w:left w:val="single" w:sz="8" w:space="0" w:color="7BA0CD" w:themeColor="accent1" w:themeTint="BF"/>
              <w:right w:val="single" w:sz="8" w:space="0" w:color="7BA0CD" w:themeColor="accent1" w:themeTint="BF"/>
            </w:tcBorders>
          </w:tcPr>
          <w:p w14:paraId="250458CA" w14:textId="345880E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32CF035E" w14:textId="102CDDD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68</w:t>
            </w:r>
          </w:p>
        </w:tc>
        <w:tc>
          <w:tcPr>
            <w:tcW w:w="900" w:type="dxa"/>
            <w:tcBorders>
              <w:left w:val="single" w:sz="8" w:space="0" w:color="7BA0CD" w:themeColor="accent1" w:themeTint="BF"/>
            </w:tcBorders>
          </w:tcPr>
          <w:p w14:paraId="4AC0F9A6" w14:textId="6A2977FA"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81</w:t>
            </w:r>
          </w:p>
        </w:tc>
      </w:tr>
      <w:tr w:rsidR="00794210" w:rsidRPr="00A07E93" w14:paraId="41F380D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45931FC" w14:textId="18E4F77C"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CDF4272" w14:textId="796BBC0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C050E91" w14:textId="3657715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43-4011</w:t>
            </w:r>
          </w:p>
        </w:tc>
        <w:tc>
          <w:tcPr>
            <w:tcW w:w="2340" w:type="dxa"/>
            <w:tcBorders>
              <w:left w:val="single" w:sz="8" w:space="0" w:color="7BA0CD" w:themeColor="accent1" w:themeTint="BF"/>
              <w:right w:val="single" w:sz="8" w:space="0" w:color="7BA0CD" w:themeColor="accent1" w:themeTint="BF"/>
            </w:tcBorders>
          </w:tcPr>
          <w:p w14:paraId="790CB3F4" w14:textId="2D6C6B4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Brokerage Clerks</w:t>
            </w:r>
          </w:p>
        </w:tc>
        <w:tc>
          <w:tcPr>
            <w:tcW w:w="1080" w:type="dxa"/>
            <w:tcBorders>
              <w:left w:val="single" w:sz="8" w:space="0" w:color="7BA0CD" w:themeColor="accent1" w:themeTint="BF"/>
              <w:right w:val="single" w:sz="8" w:space="0" w:color="7BA0CD" w:themeColor="accent1" w:themeTint="BF"/>
            </w:tcBorders>
          </w:tcPr>
          <w:p w14:paraId="77608B54" w14:textId="1DB341E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DCE00BD" w14:textId="24D1BB1F"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50</w:t>
            </w:r>
          </w:p>
        </w:tc>
        <w:tc>
          <w:tcPr>
            <w:tcW w:w="900" w:type="dxa"/>
            <w:tcBorders>
              <w:left w:val="single" w:sz="8" w:space="0" w:color="7BA0CD" w:themeColor="accent1" w:themeTint="BF"/>
            </w:tcBorders>
          </w:tcPr>
          <w:p w14:paraId="72FF29CD" w14:textId="4B0CBAA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59</w:t>
            </w:r>
          </w:p>
        </w:tc>
      </w:tr>
      <w:tr w:rsidR="00794210" w:rsidRPr="00A07E93" w14:paraId="15BA4E10"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5A21950" w14:textId="502E1F52"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6B1D2CD" w14:textId="4FF9A704"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EF0D9EB" w14:textId="1087CB0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43-9111</w:t>
            </w:r>
          </w:p>
        </w:tc>
        <w:tc>
          <w:tcPr>
            <w:tcW w:w="2340" w:type="dxa"/>
            <w:tcBorders>
              <w:left w:val="single" w:sz="8" w:space="0" w:color="7BA0CD" w:themeColor="accent1" w:themeTint="BF"/>
              <w:right w:val="single" w:sz="8" w:space="0" w:color="7BA0CD" w:themeColor="accent1" w:themeTint="BF"/>
            </w:tcBorders>
          </w:tcPr>
          <w:p w14:paraId="48E4BEDF" w14:textId="3A8296C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Statistical Assistants</w:t>
            </w:r>
          </w:p>
        </w:tc>
        <w:tc>
          <w:tcPr>
            <w:tcW w:w="1080" w:type="dxa"/>
            <w:tcBorders>
              <w:left w:val="single" w:sz="8" w:space="0" w:color="7BA0CD" w:themeColor="accent1" w:themeTint="BF"/>
              <w:right w:val="single" w:sz="8" w:space="0" w:color="7BA0CD" w:themeColor="accent1" w:themeTint="BF"/>
            </w:tcBorders>
          </w:tcPr>
          <w:p w14:paraId="0A7B5B30" w14:textId="036E382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396602AD" w14:textId="15B4A06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56</w:t>
            </w:r>
          </w:p>
        </w:tc>
        <w:tc>
          <w:tcPr>
            <w:tcW w:w="900" w:type="dxa"/>
            <w:tcBorders>
              <w:left w:val="single" w:sz="8" w:space="0" w:color="7BA0CD" w:themeColor="accent1" w:themeTint="BF"/>
            </w:tcBorders>
          </w:tcPr>
          <w:p w14:paraId="19817035" w14:textId="4E551202"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67</w:t>
            </w:r>
          </w:p>
        </w:tc>
      </w:tr>
      <w:tr w:rsidR="00794210" w:rsidRPr="00A07E93" w14:paraId="780FC96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751871E" w14:textId="20876A00" w:rsidR="00794210" w:rsidRPr="004F20A7" w:rsidRDefault="00794210" w:rsidP="00CF4D11">
            <w:pPr>
              <w:pStyle w:val="Tablenormalleft"/>
              <w:keepNext w:val="0"/>
              <w:widowControl w:val="0"/>
              <w:jc w:val="left"/>
              <w:rPr>
                <w:color w:val="000000"/>
                <w:szCs w:val="18"/>
              </w:rPr>
            </w:pPr>
            <w:r w:rsidRPr="00A304D0">
              <w:t>52.0401</w:t>
            </w:r>
          </w:p>
        </w:tc>
        <w:tc>
          <w:tcPr>
            <w:tcW w:w="2340" w:type="dxa"/>
            <w:tcBorders>
              <w:left w:val="single" w:sz="8" w:space="0" w:color="7BA0CD" w:themeColor="accent1" w:themeTint="BF"/>
              <w:right w:val="single" w:sz="8" w:space="0" w:color="7BA0CD" w:themeColor="accent1" w:themeTint="BF"/>
            </w:tcBorders>
          </w:tcPr>
          <w:p w14:paraId="7DB9526D" w14:textId="6DBF5A0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Administrative Assistant and Secretarial Science, General</w:t>
            </w:r>
          </w:p>
        </w:tc>
        <w:tc>
          <w:tcPr>
            <w:tcW w:w="900" w:type="dxa"/>
            <w:tcBorders>
              <w:left w:val="single" w:sz="8" w:space="0" w:color="7BA0CD" w:themeColor="accent1" w:themeTint="BF"/>
              <w:right w:val="single" w:sz="8" w:space="0" w:color="7BA0CD" w:themeColor="accent1" w:themeTint="BF"/>
            </w:tcBorders>
          </w:tcPr>
          <w:p w14:paraId="499C1935" w14:textId="20BF0F8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43-6011</w:t>
            </w:r>
          </w:p>
        </w:tc>
        <w:tc>
          <w:tcPr>
            <w:tcW w:w="2340" w:type="dxa"/>
            <w:tcBorders>
              <w:left w:val="single" w:sz="8" w:space="0" w:color="7BA0CD" w:themeColor="accent1" w:themeTint="BF"/>
              <w:right w:val="single" w:sz="8" w:space="0" w:color="7BA0CD" w:themeColor="accent1" w:themeTint="BF"/>
            </w:tcBorders>
          </w:tcPr>
          <w:p w14:paraId="047FD89B" w14:textId="6D47FA8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Executive Secretaries and Executive Administrative Assistants</w:t>
            </w:r>
          </w:p>
        </w:tc>
        <w:tc>
          <w:tcPr>
            <w:tcW w:w="1080" w:type="dxa"/>
            <w:tcBorders>
              <w:left w:val="single" w:sz="8" w:space="0" w:color="7BA0CD" w:themeColor="accent1" w:themeTint="BF"/>
              <w:right w:val="single" w:sz="8" w:space="0" w:color="7BA0CD" w:themeColor="accent1" w:themeTint="BF"/>
            </w:tcBorders>
          </w:tcPr>
          <w:p w14:paraId="37A55753" w14:textId="36E3C6F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0.53</w:t>
            </w:r>
          </w:p>
        </w:tc>
        <w:tc>
          <w:tcPr>
            <w:tcW w:w="900" w:type="dxa"/>
            <w:tcBorders>
              <w:left w:val="single" w:sz="8" w:space="0" w:color="7BA0CD" w:themeColor="accent1" w:themeTint="BF"/>
              <w:right w:val="single" w:sz="8" w:space="0" w:color="7BA0CD" w:themeColor="accent1" w:themeTint="BF"/>
            </w:tcBorders>
          </w:tcPr>
          <w:p w14:paraId="5D13DAA6" w14:textId="762E278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67</w:t>
            </w:r>
          </w:p>
        </w:tc>
        <w:tc>
          <w:tcPr>
            <w:tcW w:w="900" w:type="dxa"/>
            <w:tcBorders>
              <w:left w:val="single" w:sz="8" w:space="0" w:color="7BA0CD" w:themeColor="accent1" w:themeTint="BF"/>
            </w:tcBorders>
          </w:tcPr>
          <w:p w14:paraId="5DB807CA" w14:textId="02B206D3"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81</w:t>
            </w:r>
          </w:p>
        </w:tc>
      </w:tr>
      <w:tr w:rsidR="00794210" w:rsidRPr="00A07E93" w14:paraId="534B562B"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0ADE895" w14:textId="02697AB1"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AC05B24" w14:textId="160DB419"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0756B11" w14:textId="13F3EA8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43-6014</w:t>
            </w:r>
          </w:p>
        </w:tc>
        <w:tc>
          <w:tcPr>
            <w:tcW w:w="2340" w:type="dxa"/>
            <w:tcBorders>
              <w:left w:val="single" w:sz="8" w:space="0" w:color="7BA0CD" w:themeColor="accent1" w:themeTint="BF"/>
              <w:right w:val="single" w:sz="8" w:space="0" w:color="7BA0CD" w:themeColor="accent1" w:themeTint="BF"/>
            </w:tcBorders>
          </w:tcPr>
          <w:p w14:paraId="73992FBB" w14:textId="23CE33C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Secretaries and Administrative Assistants, Except Legal, Medical, and Executive</w:t>
            </w:r>
          </w:p>
        </w:tc>
        <w:tc>
          <w:tcPr>
            <w:tcW w:w="1080" w:type="dxa"/>
            <w:tcBorders>
              <w:left w:val="single" w:sz="8" w:space="0" w:color="7BA0CD" w:themeColor="accent1" w:themeTint="BF"/>
              <w:right w:val="single" w:sz="8" w:space="0" w:color="7BA0CD" w:themeColor="accent1" w:themeTint="BF"/>
            </w:tcBorders>
          </w:tcPr>
          <w:p w14:paraId="56C920DA" w14:textId="616CC56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7CFE3810" w14:textId="584B022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67</w:t>
            </w:r>
          </w:p>
        </w:tc>
        <w:tc>
          <w:tcPr>
            <w:tcW w:w="900" w:type="dxa"/>
            <w:tcBorders>
              <w:left w:val="single" w:sz="8" w:space="0" w:color="7BA0CD" w:themeColor="accent1" w:themeTint="BF"/>
            </w:tcBorders>
          </w:tcPr>
          <w:p w14:paraId="3FB9BB18" w14:textId="6901362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81</w:t>
            </w:r>
          </w:p>
        </w:tc>
      </w:tr>
      <w:tr w:rsidR="00794210" w:rsidRPr="00A07E93" w14:paraId="6DC35285"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C359048" w14:textId="1D06EE1B" w:rsidR="00794210" w:rsidRPr="004F20A7" w:rsidRDefault="00794210" w:rsidP="00CF4D11">
            <w:pPr>
              <w:pStyle w:val="Tablenormalleft"/>
              <w:keepNext w:val="0"/>
              <w:widowControl w:val="0"/>
              <w:jc w:val="left"/>
              <w:rPr>
                <w:color w:val="000000"/>
                <w:szCs w:val="18"/>
              </w:rPr>
            </w:pPr>
            <w:r w:rsidRPr="00A304D0">
              <w:t>52.0408</w:t>
            </w:r>
          </w:p>
        </w:tc>
        <w:tc>
          <w:tcPr>
            <w:tcW w:w="2340" w:type="dxa"/>
            <w:tcBorders>
              <w:left w:val="single" w:sz="8" w:space="0" w:color="7BA0CD" w:themeColor="accent1" w:themeTint="BF"/>
              <w:right w:val="single" w:sz="8" w:space="0" w:color="7BA0CD" w:themeColor="accent1" w:themeTint="BF"/>
            </w:tcBorders>
          </w:tcPr>
          <w:p w14:paraId="7DECD9C4" w14:textId="673DBCB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General Office Occupations and Clerical Services</w:t>
            </w:r>
          </w:p>
        </w:tc>
        <w:tc>
          <w:tcPr>
            <w:tcW w:w="900" w:type="dxa"/>
            <w:tcBorders>
              <w:left w:val="single" w:sz="8" w:space="0" w:color="7BA0CD" w:themeColor="accent1" w:themeTint="BF"/>
              <w:right w:val="single" w:sz="8" w:space="0" w:color="7BA0CD" w:themeColor="accent1" w:themeTint="BF"/>
            </w:tcBorders>
          </w:tcPr>
          <w:p w14:paraId="026B3C94" w14:textId="38233E5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43-3061</w:t>
            </w:r>
          </w:p>
        </w:tc>
        <w:tc>
          <w:tcPr>
            <w:tcW w:w="2340" w:type="dxa"/>
            <w:tcBorders>
              <w:left w:val="single" w:sz="8" w:space="0" w:color="7BA0CD" w:themeColor="accent1" w:themeTint="BF"/>
              <w:right w:val="single" w:sz="8" w:space="0" w:color="7BA0CD" w:themeColor="accent1" w:themeTint="BF"/>
            </w:tcBorders>
          </w:tcPr>
          <w:p w14:paraId="66FF9D5B" w14:textId="17E4EAA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Procurement Clerks</w:t>
            </w:r>
          </w:p>
        </w:tc>
        <w:tc>
          <w:tcPr>
            <w:tcW w:w="1080" w:type="dxa"/>
            <w:tcBorders>
              <w:left w:val="single" w:sz="8" w:space="0" w:color="7BA0CD" w:themeColor="accent1" w:themeTint="BF"/>
              <w:right w:val="single" w:sz="8" w:space="0" w:color="7BA0CD" w:themeColor="accent1" w:themeTint="BF"/>
            </w:tcBorders>
          </w:tcPr>
          <w:p w14:paraId="7744909D" w14:textId="5D95423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1C6CBEBD" w14:textId="1AEBE040"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60</w:t>
            </w:r>
          </w:p>
        </w:tc>
        <w:tc>
          <w:tcPr>
            <w:tcW w:w="900" w:type="dxa"/>
            <w:tcBorders>
              <w:left w:val="single" w:sz="8" w:space="0" w:color="7BA0CD" w:themeColor="accent1" w:themeTint="BF"/>
            </w:tcBorders>
          </w:tcPr>
          <w:p w14:paraId="12DE1B20" w14:textId="2AA7DE09"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71</w:t>
            </w:r>
          </w:p>
        </w:tc>
      </w:tr>
      <w:tr w:rsidR="00794210" w:rsidRPr="00A07E93" w14:paraId="6DB2CBE8"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941A57C" w14:textId="696EF829"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67678E9" w14:textId="05FAF6E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6A096E04" w14:textId="15E1427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43-4021</w:t>
            </w:r>
          </w:p>
        </w:tc>
        <w:tc>
          <w:tcPr>
            <w:tcW w:w="2340" w:type="dxa"/>
            <w:tcBorders>
              <w:left w:val="single" w:sz="8" w:space="0" w:color="7BA0CD" w:themeColor="accent1" w:themeTint="BF"/>
              <w:right w:val="single" w:sz="8" w:space="0" w:color="7BA0CD" w:themeColor="accent1" w:themeTint="BF"/>
            </w:tcBorders>
          </w:tcPr>
          <w:p w14:paraId="06CE7476" w14:textId="5CD777DB"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Correspondence Clerks</w:t>
            </w:r>
          </w:p>
        </w:tc>
        <w:tc>
          <w:tcPr>
            <w:tcW w:w="1080" w:type="dxa"/>
            <w:tcBorders>
              <w:left w:val="single" w:sz="8" w:space="0" w:color="7BA0CD" w:themeColor="accent1" w:themeTint="BF"/>
              <w:right w:val="single" w:sz="8" w:space="0" w:color="7BA0CD" w:themeColor="accent1" w:themeTint="BF"/>
            </w:tcBorders>
          </w:tcPr>
          <w:p w14:paraId="395680A6" w14:textId="04365C0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46923978" w14:textId="390B1F7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73</w:t>
            </w:r>
          </w:p>
        </w:tc>
        <w:tc>
          <w:tcPr>
            <w:tcW w:w="900" w:type="dxa"/>
            <w:tcBorders>
              <w:left w:val="single" w:sz="8" w:space="0" w:color="7BA0CD" w:themeColor="accent1" w:themeTint="BF"/>
            </w:tcBorders>
          </w:tcPr>
          <w:p w14:paraId="72B39046" w14:textId="21B6C645"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83</w:t>
            </w:r>
          </w:p>
        </w:tc>
      </w:tr>
      <w:tr w:rsidR="00794210" w:rsidRPr="00A07E93" w14:paraId="77732504"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7F45747F" w14:textId="1412D98D"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69317A9" w14:textId="1371A11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3FF7B0B" w14:textId="007DC03E"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43-4031</w:t>
            </w:r>
          </w:p>
        </w:tc>
        <w:tc>
          <w:tcPr>
            <w:tcW w:w="2340" w:type="dxa"/>
            <w:tcBorders>
              <w:left w:val="single" w:sz="8" w:space="0" w:color="7BA0CD" w:themeColor="accent1" w:themeTint="BF"/>
              <w:right w:val="single" w:sz="8" w:space="0" w:color="7BA0CD" w:themeColor="accent1" w:themeTint="BF"/>
            </w:tcBorders>
          </w:tcPr>
          <w:p w14:paraId="2B204E3B" w14:textId="2D8AAB1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Court, Municipal, and License Clerks</w:t>
            </w:r>
          </w:p>
        </w:tc>
        <w:tc>
          <w:tcPr>
            <w:tcW w:w="1080" w:type="dxa"/>
            <w:tcBorders>
              <w:left w:val="single" w:sz="8" w:space="0" w:color="7BA0CD" w:themeColor="accent1" w:themeTint="BF"/>
              <w:right w:val="single" w:sz="8" w:space="0" w:color="7BA0CD" w:themeColor="accent1" w:themeTint="BF"/>
            </w:tcBorders>
          </w:tcPr>
          <w:p w14:paraId="1166033B" w14:textId="77F89F44"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1196A117" w14:textId="4384E65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65</w:t>
            </w:r>
          </w:p>
        </w:tc>
        <w:tc>
          <w:tcPr>
            <w:tcW w:w="900" w:type="dxa"/>
            <w:tcBorders>
              <w:left w:val="single" w:sz="8" w:space="0" w:color="7BA0CD" w:themeColor="accent1" w:themeTint="BF"/>
            </w:tcBorders>
          </w:tcPr>
          <w:p w14:paraId="5AAE9ABD" w14:textId="05D11A6D"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81</w:t>
            </w:r>
          </w:p>
        </w:tc>
      </w:tr>
      <w:tr w:rsidR="00794210" w:rsidRPr="00A07E93" w14:paraId="0C53CB7E"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75FFAEC" w14:textId="23D7C3C4"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829FBEF" w14:textId="2920945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DB2F59C" w14:textId="1CC428E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43-4071</w:t>
            </w:r>
          </w:p>
        </w:tc>
        <w:tc>
          <w:tcPr>
            <w:tcW w:w="2340" w:type="dxa"/>
            <w:tcBorders>
              <w:left w:val="single" w:sz="8" w:space="0" w:color="7BA0CD" w:themeColor="accent1" w:themeTint="BF"/>
              <w:right w:val="single" w:sz="8" w:space="0" w:color="7BA0CD" w:themeColor="accent1" w:themeTint="BF"/>
            </w:tcBorders>
          </w:tcPr>
          <w:p w14:paraId="35855031" w14:textId="361EE521"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File Clerks</w:t>
            </w:r>
          </w:p>
        </w:tc>
        <w:tc>
          <w:tcPr>
            <w:tcW w:w="1080" w:type="dxa"/>
            <w:tcBorders>
              <w:left w:val="single" w:sz="8" w:space="0" w:color="7BA0CD" w:themeColor="accent1" w:themeTint="BF"/>
              <w:right w:val="single" w:sz="8" w:space="0" w:color="7BA0CD" w:themeColor="accent1" w:themeTint="BF"/>
            </w:tcBorders>
          </w:tcPr>
          <w:p w14:paraId="56623E91" w14:textId="3BE4908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1207278E" w14:textId="10F6460C"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66</w:t>
            </w:r>
          </w:p>
        </w:tc>
        <w:tc>
          <w:tcPr>
            <w:tcW w:w="900" w:type="dxa"/>
            <w:tcBorders>
              <w:left w:val="single" w:sz="8" w:space="0" w:color="7BA0CD" w:themeColor="accent1" w:themeTint="BF"/>
            </w:tcBorders>
          </w:tcPr>
          <w:p w14:paraId="37853520" w14:textId="75F3BE4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78</w:t>
            </w:r>
          </w:p>
        </w:tc>
      </w:tr>
      <w:tr w:rsidR="00794210" w:rsidRPr="00A07E93" w14:paraId="3F01D5EB"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5B26377" w14:textId="12066FF2"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79E72AC" w14:textId="7C2D465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4A1EAEF" w14:textId="4665100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43-4151</w:t>
            </w:r>
          </w:p>
        </w:tc>
        <w:tc>
          <w:tcPr>
            <w:tcW w:w="2340" w:type="dxa"/>
            <w:tcBorders>
              <w:left w:val="single" w:sz="8" w:space="0" w:color="7BA0CD" w:themeColor="accent1" w:themeTint="BF"/>
              <w:right w:val="single" w:sz="8" w:space="0" w:color="7BA0CD" w:themeColor="accent1" w:themeTint="BF"/>
            </w:tcBorders>
          </w:tcPr>
          <w:p w14:paraId="52BE7A03" w14:textId="4D1D3152"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Order Clerks</w:t>
            </w:r>
          </w:p>
        </w:tc>
        <w:tc>
          <w:tcPr>
            <w:tcW w:w="1080" w:type="dxa"/>
            <w:tcBorders>
              <w:left w:val="single" w:sz="8" w:space="0" w:color="7BA0CD" w:themeColor="accent1" w:themeTint="BF"/>
              <w:right w:val="single" w:sz="8" w:space="0" w:color="7BA0CD" w:themeColor="accent1" w:themeTint="BF"/>
            </w:tcBorders>
          </w:tcPr>
          <w:p w14:paraId="705B9EDA" w14:textId="59CA1D0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05EA0244" w14:textId="715080C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73</w:t>
            </w:r>
          </w:p>
        </w:tc>
        <w:tc>
          <w:tcPr>
            <w:tcW w:w="900" w:type="dxa"/>
            <w:tcBorders>
              <w:left w:val="single" w:sz="8" w:space="0" w:color="7BA0CD" w:themeColor="accent1" w:themeTint="BF"/>
            </w:tcBorders>
          </w:tcPr>
          <w:p w14:paraId="7D65A1EC" w14:textId="64D5487B"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83</w:t>
            </w:r>
          </w:p>
        </w:tc>
      </w:tr>
      <w:tr w:rsidR="00794210" w:rsidRPr="00A07E93" w14:paraId="544E655F"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23B3181" w14:textId="0ABAB0EC"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3E6E0CF" w14:textId="3010B538"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B4B087D" w14:textId="75722356"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43-4161</w:t>
            </w:r>
          </w:p>
        </w:tc>
        <w:tc>
          <w:tcPr>
            <w:tcW w:w="2340" w:type="dxa"/>
            <w:tcBorders>
              <w:left w:val="single" w:sz="8" w:space="0" w:color="7BA0CD" w:themeColor="accent1" w:themeTint="BF"/>
              <w:right w:val="single" w:sz="8" w:space="0" w:color="7BA0CD" w:themeColor="accent1" w:themeTint="BF"/>
            </w:tcBorders>
          </w:tcPr>
          <w:p w14:paraId="18919275" w14:textId="53EE567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 xml:space="preserve">Human </w:t>
            </w:r>
            <w:r w:rsidR="006C38C7" w:rsidRPr="005A427B">
              <w:t>Resou</w:t>
            </w:r>
            <w:r w:rsidR="006C38C7">
              <w:t>rce</w:t>
            </w:r>
            <w:r w:rsidR="006C38C7" w:rsidRPr="005A427B">
              <w:t>s</w:t>
            </w:r>
            <w:r w:rsidRPr="005A427B">
              <w:t xml:space="preserve"> Assistants, Except Payroll and Timekeeping</w:t>
            </w:r>
          </w:p>
        </w:tc>
        <w:tc>
          <w:tcPr>
            <w:tcW w:w="1080" w:type="dxa"/>
            <w:tcBorders>
              <w:left w:val="single" w:sz="8" w:space="0" w:color="7BA0CD" w:themeColor="accent1" w:themeTint="BF"/>
              <w:right w:val="single" w:sz="8" w:space="0" w:color="7BA0CD" w:themeColor="accent1" w:themeTint="BF"/>
            </w:tcBorders>
          </w:tcPr>
          <w:p w14:paraId="23AC4D53" w14:textId="61B4F44E"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241F332F" w14:textId="74C7EDF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57</w:t>
            </w:r>
          </w:p>
        </w:tc>
        <w:tc>
          <w:tcPr>
            <w:tcW w:w="900" w:type="dxa"/>
            <w:tcBorders>
              <w:left w:val="single" w:sz="8" w:space="0" w:color="7BA0CD" w:themeColor="accent1" w:themeTint="BF"/>
            </w:tcBorders>
          </w:tcPr>
          <w:p w14:paraId="5BFB573B" w14:textId="010B9046"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71</w:t>
            </w:r>
          </w:p>
        </w:tc>
      </w:tr>
      <w:tr w:rsidR="00794210" w:rsidRPr="00A07E93" w14:paraId="638A82CB"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E93DFC7" w14:textId="35A4CC6C" w:rsidR="00794210" w:rsidRPr="004F20A7"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9FCAF34" w14:textId="3E293BA6"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DDA5CE6" w14:textId="2DA1C728"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43-4171</w:t>
            </w:r>
          </w:p>
        </w:tc>
        <w:tc>
          <w:tcPr>
            <w:tcW w:w="2340" w:type="dxa"/>
            <w:tcBorders>
              <w:left w:val="single" w:sz="8" w:space="0" w:color="7BA0CD" w:themeColor="accent1" w:themeTint="BF"/>
              <w:right w:val="single" w:sz="8" w:space="0" w:color="7BA0CD" w:themeColor="accent1" w:themeTint="BF"/>
            </w:tcBorders>
          </w:tcPr>
          <w:p w14:paraId="5D2A9275" w14:textId="7782914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5A427B">
              <w:t>Receptionists and Information Clerks</w:t>
            </w:r>
          </w:p>
        </w:tc>
        <w:tc>
          <w:tcPr>
            <w:tcW w:w="1080" w:type="dxa"/>
            <w:tcBorders>
              <w:left w:val="single" w:sz="8" w:space="0" w:color="7BA0CD" w:themeColor="accent1" w:themeTint="BF"/>
              <w:right w:val="single" w:sz="8" w:space="0" w:color="7BA0CD" w:themeColor="accent1" w:themeTint="BF"/>
            </w:tcBorders>
          </w:tcPr>
          <w:p w14:paraId="45418778" w14:textId="0BB10065"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7DF6CED2" w14:textId="7203D4BF"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74</w:t>
            </w:r>
          </w:p>
        </w:tc>
        <w:tc>
          <w:tcPr>
            <w:tcW w:w="900" w:type="dxa"/>
            <w:tcBorders>
              <w:left w:val="single" w:sz="8" w:space="0" w:color="7BA0CD" w:themeColor="accent1" w:themeTint="BF"/>
            </w:tcBorders>
          </w:tcPr>
          <w:p w14:paraId="00695264" w14:textId="28E6661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5A427B">
              <w:t>85</w:t>
            </w:r>
          </w:p>
        </w:tc>
      </w:tr>
      <w:tr w:rsidR="00794210" w:rsidRPr="00A07E93" w14:paraId="64A10460"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3C895FD" w14:textId="532F1AAF" w:rsidR="00794210" w:rsidRPr="00481101" w:rsidRDefault="00794210" w:rsidP="00CF4D11">
            <w:pPr>
              <w:pStyle w:val="Tablenormalleft"/>
              <w:keepNext w:val="0"/>
              <w:widowControl w:val="0"/>
              <w:jc w:val="left"/>
              <w:rPr>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12EF6E2" w14:textId="43986ACC" w:rsidR="00794210" w:rsidRPr="00481101"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1C20C21" w14:textId="46AB28BD" w:rsidR="00794210" w:rsidRPr="00481101"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43-4199</w:t>
            </w:r>
          </w:p>
        </w:tc>
        <w:tc>
          <w:tcPr>
            <w:tcW w:w="2340" w:type="dxa"/>
            <w:tcBorders>
              <w:left w:val="single" w:sz="8" w:space="0" w:color="7BA0CD" w:themeColor="accent1" w:themeTint="BF"/>
              <w:right w:val="single" w:sz="8" w:space="0" w:color="7BA0CD" w:themeColor="accent1" w:themeTint="BF"/>
            </w:tcBorders>
          </w:tcPr>
          <w:p w14:paraId="5C58012A" w14:textId="46118979" w:rsidR="00794210" w:rsidRPr="00481101"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5A427B">
              <w:t>Information and Record Clerks, All Other</w:t>
            </w:r>
          </w:p>
        </w:tc>
        <w:tc>
          <w:tcPr>
            <w:tcW w:w="1080" w:type="dxa"/>
            <w:tcBorders>
              <w:left w:val="single" w:sz="8" w:space="0" w:color="7BA0CD" w:themeColor="accent1" w:themeTint="BF"/>
              <w:right w:val="single" w:sz="8" w:space="0" w:color="7BA0CD" w:themeColor="accent1" w:themeTint="BF"/>
            </w:tcBorders>
          </w:tcPr>
          <w:p w14:paraId="3731846C" w14:textId="3DD9E9CA" w:rsidR="00794210" w:rsidRPr="00481101"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01B1E6C0" w14:textId="24FE5858" w:rsidR="00794210" w:rsidRPr="00481101"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60</w:t>
            </w:r>
          </w:p>
        </w:tc>
        <w:tc>
          <w:tcPr>
            <w:tcW w:w="900" w:type="dxa"/>
            <w:tcBorders>
              <w:left w:val="single" w:sz="8" w:space="0" w:color="7BA0CD" w:themeColor="accent1" w:themeTint="BF"/>
            </w:tcBorders>
          </w:tcPr>
          <w:p w14:paraId="20EDFA1E" w14:textId="46F0A9EE" w:rsidR="00794210" w:rsidRPr="00481101"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5A427B">
              <w:t>77</w:t>
            </w:r>
          </w:p>
        </w:tc>
      </w:tr>
      <w:tr w:rsidR="00794210" w:rsidRPr="00A07E93" w14:paraId="74BAF802"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676153F" w14:textId="1B33900A"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B19D612" w14:textId="670DA10D"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936559E" w14:textId="256907E4"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43-5011</w:t>
            </w:r>
          </w:p>
        </w:tc>
        <w:tc>
          <w:tcPr>
            <w:tcW w:w="2340" w:type="dxa"/>
            <w:tcBorders>
              <w:left w:val="single" w:sz="8" w:space="0" w:color="7BA0CD" w:themeColor="accent1" w:themeTint="BF"/>
              <w:right w:val="single" w:sz="8" w:space="0" w:color="7BA0CD" w:themeColor="accent1" w:themeTint="BF"/>
            </w:tcBorders>
          </w:tcPr>
          <w:p w14:paraId="147F6997" w14:textId="12BA66C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Cargo and Freight Agents</w:t>
            </w:r>
          </w:p>
        </w:tc>
        <w:tc>
          <w:tcPr>
            <w:tcW w:w="1080" w:type="dxa"/>
            <w:tcBorders>
              <w:left w:val="single" w:sz="8" w:space="0" w:color="7BA0CD" w:themeColor="accent1" w:themeTint="BF"/>
              <w:right w:val="single" w:sz="8" w:space="0" w:color="7BA0CD" w:themeColor="accent1" w:themeTint="BF"/>
            </w:tcBorders>
          </w:tcPr>
          <w:p w14:paraId="77027B80" w14:textId="1136DA8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3548DFCD" w14:textId="0AC3400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71</w:t>
            </w:r>
          </w:p>
        </w:tc>
        <w:tc>
          <w:tcPr>
            <w:tcW w:w="900" w:type="dxa"/>
            <w:tcBorders>
              <w:left w:val="single" w:sz="8" w:space="0" w:color="7BA0CD" w:themeColor="accent1" w:themeTint="BF"/>
            </w:tcBorders>
          </w:tcPr>
          <w:p w14:paraId="47BE9084" w14:textId="5A774827"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83</w:t>
            </w:r>
          </w:p>
        </w:tc>
      </w:tr>
      <w:tr w:rsidR="00794210" w:rsidRPr="00A07E93" w14:paraId="173FD837"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9665E78" w14:textId="3B2FA16A"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0742E52F" w14:textId="79EE5A6A"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C5EE968" w14:textId="068396D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43-5051</w:t>
            </w:r>
          </w:p>
        </w:tc>
        <w:tc>
          <w:tcPr>
            <w:tcW w:w="2340" w:type="dxa"/>
            <w:tcBorders>
              <w:left w:val="single" w:sz="8" w:space="0" w:color="7BA0CD" w:themeColor="accent1" w:themeTint="BF"/>
              <w:right w:val="single" w:sz="8" w:space="0" w:color="7BA0CD" w:themeColor="accent1" w:themeTint="BF"/>
            </w:tcBorders>
          </w:tcPr>
          <w:p w14:paraId="502D1080" w14:textId="7CB4637F"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Postal Service Clerks</w:t>
            </w:r>
          </w:p>
        </w:tc>
        <w:tc>
          <w:tcPr>
            <w:tcW w:w="1080" w:type="dxa"/>
            <w:tcBorders>
              <w:left w:val="single" w:sz="8" w:space="0" w:color="7BA0CD" w:themeColor="accent1" w:themeTint="BF"/>
              <w:right w:val="single" w:sz="8" w:space="0" w:color="7BA0CD" w:themeColor="accent1" w:themeTint="BF"/>
            </w:tcBorders>
          </w:tcPr>
          <w:p w14:paraId="6BDED08B" w14:textId="2BED3B0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5DF360BA" w14:textId="7B3130AF"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74</w:t>
            </w:r>
          </w:p>
        </w:tc>
        <w:tc>
          <w:tcPr>
            <w:tcW w:w="900" w:type="dxa"/>
            <w:tcBorders>
              <w:left w:val="single" w:sz="8" w:space="0" w:color="7BA0CD" w:themeColor="accent1" w:themeTint="BF"/>
            </w:tcBorders>
          </w:tcPr>
          <w:p w14:paraId="5CD29F8D" w14:textId="22FDBF57"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83</w:t>
            </w:r>
          </w:p>
        </w:tc>
      </w:tr>
      <w:tr w:rsidR="00794210" w:rsidRPr="00A07E93" w14:paraId="0FB413EF"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756705A" w14:textId="17DD2679"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A20F348" w14:textId="64800C6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D21C8AD" w14:textId="18FFD169"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43-5052</w:t>
            </w:r>
          </w:p>
        </w:tc>
        <w:tc>
          <w:tcPr>
            <w:tcW w:w="2340" w:type="dxa"/>
            <w:tcBorders>
              <w:left w:val="single" w:sz="8" w:space="0" w:color="7BA0CD" w:themeColor="accent1" w:themeTint="BF"/>
              <w:right w:val="single" w:sz="8" w:space="0" w:color="7BA0CD" w:themeColor="accent1" w:themeTint="BF"/>
            </w:tcBorders>
          </w:tcPr>
          <w:p w14:paraId="141C858B" w14:textId="1D11EF4B"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Postal Service Mail Carriers</w:t>
            </w:r>
          </w:p>
        </w:tc>
        <w:tc>
          <w:tcPr>
            <w:tcW w:w="1080" w:type="dxa"/>
            <w:tcBorders>
              <w:left w:val="single" w:sz="8" w:space="0" w:color="7BA0CD" w:themeColor="accent1" w:themeTint="BF"/>
              <w:right w:val="single" w:sz="8" w:space="0" w:color="7BA0CD" w:themeColor="accent1" w:themeTint="BF"/>
            </w:tcBorders>
          </w:tcPr>
          <w:p w14:paraId="253BE02B" w14:textId="659FF83C"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05138DB8" w14:textId="1EFA778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76</w:t>
            </w:r>
          </w:p>
        </w:tc>
        <w:tc>
          <w:tcPr>
            <w:tcW w:w="900" w:type="dxa"/>
            <w:tcBorders>
              <w:left w:val="single" w:sz="8" w:space="0" w:color="7BA0CD" w:themeColor="accent1" w:themeTint="BF"/>
            </w:tcBorders>
          </w:tcPr>
          <w:p w14:paraId="5A3072E1" w14:textId="429C2B2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86</w:t>
            </w:r>
          </w:p>
        </w:tc>
      </w:tr>
      <w:tr w:rsidR="00794210" w:rsidRPr="00A07E93" w14:paraId="7AE498CB"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0A6D6469" w14:textId="2491B28A"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21B1C68B" w14:textId="032AE6C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C1A9764" w14:textId="5E56D3D2"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43-5053</w:t>
            </w:r>
          </w:p>
        </w:tc>
        <w:tc>
          <w:tcPr>
            <w:tcW w:w="2340" w:type="dxa"/>
            <w:tcBorders>
              <w:left w:val="single" w:sz="8" w:space="0" w:color="7BA0CD" w:themeColor="accent1" w:themeTint="BF"/>
              <w:right w:val="single" w:sz="8" w:space="0" w:color="7BA0CD" w:themeColor="accent1" w:themeTint="BF"/>
            </w:tcBorders>
          </w:tcPr>
          <w:p w14:paraId="632EA973" w14:textId="281EEF17"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Postal Service Mail Sorters, Processors, and Processing Machine Operators</w:t>
            </w:r>
          </w:p>
        </w:tc>
        <w:tc>
          <w:tcPr>
            <w:tcW w:w="1080" w:type="dxa"/>
            <w:tcBorders>
              <w:left w:val="single" w:sz="8" w:space="0" w:color="7BA0CD" w:themeColor="accent1" w:themeTint="BF"/>
              <w:right w:val="single" w:sz="8" w:space="0" w:color="7BA0CD" w:themeColor="accent1" w:themeTint="BF"/>
            </w:tcBorders>
          </w:tcPr>
          <w:p w14:paraId="10277D9E" w14:textId="033E1041"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560ACBE5" w14:textId="139C2BA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76</w:t>
            </w:r>
          </w:p>
        </w:tc>
        <w:tc>
          <w:tcPr>
            <w:tcW w:w="900" w:type="dxa"/>
            <w:tcBorders>
              <w:left w:val="single" w:sz="8" w:space="0" w:color="7BA0CD" w:themeColor="accent1" w:themeTint="BF"/>
            </w:tcBorders>
          </w:tcPr>
          <w:p w14:paraId="773D048D" w14:textId="430560D9"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85</w:t>
            </w:r>
          </w:p>
        </w:tc>
      </w:tr>
      <w:tr w:rsidR="00794210" w:rsidRPr="00A07E93" w14:paraId="7F31BAE6"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2EC6A274" w14:textId="2C4D685C"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1552F59D" w14:textId="6EB2B8F1"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AA547BA" w14:textId="6F578B03"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43-5071</w:t>
            </w:r>
          </w:p>
        </w:tc>
        <w:tc>
          <w:tcPr>
            <w:tcW w:w="2340" w:type="dxa"/>
            <w:tcBorders>
              <w:left w:val="single" w:sz="8" w:space="0" w:color="7BA0CD" w:themeColor="accent1" w:themeTint="BF"/>
              <w:right w:val="single" w:sz="8" w:space="0" w:color="7BA0CD" w:themeColor="accent1" w:themeTint="BF"/>
            </w:tcBorders>
          </w:tcPr>
          <w:p w14:paraId="21BD6D2F" w14:textId="30EC330C"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Shipping, Receiving, and Traffic Clerks</w:t>
            </w:r>
          </w:p>
        </w:tc>
        <w:tc>
          <w:tcPr>
            <w:tcW w:w="1080" w:type="dxa"/>
            <w:tcBorders>
              <w:left w:val="single" w:sz="8" w:space="0" w:color="7BA0CD" w:themeColor="accent1" w:themeTint="BF"/>
              <w:right w:val="single" w:sz="8" w:space="0" w:color="7BA0CD" w:themeColor="accent1" w:themeTint="BF"/>
            </w:tcBorders>
          </w:tcPr>
          <w:p w14:paraId="7B1269E7" w14:textId="6FB6624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0C75CE37" w14:textId="71F51572"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86</w:t>
            </w:r>
          </w:p>
        </w:tc>
        <w:tc>
          <w:tcPr>
            <w:tcW w:w="900" w:type="dxa"/>
            <w:tcBorders>
              <w:left w:val="single" w:sz="8" w:space="0" w:color="7BA0CD" w:themeColor="accent1" w:themeTint="BF"/>
            </w:tcBorders>
          </w:tcPr>
          <w:p w14:paraId="1E74BADF" w14:textId="00EDBF46"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92</w:t>
            </w:r>
          </w:p>
        </w:tc>
      </w:tr>
      <w:tr w:rsidR="00794210" w:rsidRPr="00A07E93" w14:paraId="0D2EC118"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1DC0B1B" w14:textId="6646AF3A"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61A2E6E5" w14:textId="342E0E6D"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4180C219" w14:textId="2458E93E"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43-5111</w:t>
            </w:r>
          </w:p>
        </w:tc>
        <w:tc>
          <w:tcPr>
            <w:tcW w:w="2340" w:type="dxa"/>
            <w:tcBorders>
              <w:left w:val="single" w:sz="8" w:space="0" w:color="7BA0CD" w:themeColor="accent1" w:themeTint="BF"/>
              <w:right w:val="single" w:sz="8" w:space="0" w:color="7BA0CD" w:themeColor="accent1" w:themeTint="BF"/>
            </w:tcBorders>
          </w:tcPr>
          <w:p w14:paraId="03A309EF" w14:textId="3D666815" w:rsidR="00794210" w:rsidRPr="004F20A7"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5A427B">
              <w:t>Weighers, Measurers, Checkers, and Samplers, Recordkeeping</w:t>
            </w:r>
          </w:p>
        </w:tc>
        <w:tc>
          <w:tcPr>
            <w:tcW w:w="1080" w:type="dxa"/>
            <w:tcBorders>
              <w:left w:val="single" w:sz="8" w:space="0" w:color="7BA0CD" w:themeColor="accent1" w:themeTint="BF"/>
              <w:right w:val="single" w:sz="8" w:space="0" w:color="7BA0CD" w:themeColor="accent1" w:themeTint="BF"/>
            </w:tcBorders>
          </w:tcPr>
          <w:p w14:paraId="20C0C8ED" w14:textId="377F74B3"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1EE9014B" w14:textId="1559B4DD"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81</w:t>
            </w:r>
          </w:p>
        </w:tc>
        <w:tc>
          <w:tcPr>
            <w:tcW w:w="900" w:type="dxa"/>
            <w:tcBorders>
              <w:left w:val="single" w:sz="8" w:space="0" w:color="7BA0CD" w:themeColor="accent1" w:themeTint="BF"/>
            </w:tcBorders>
          </w:tcPr>
          <w:p w14:paraId="6BE361E0" w14:textId="13F30B50" w:rsidR="00794210" w:rsidRPr="004F20A7"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5A427B">
              <w:t>88</w:t>
            </w:r>
          </w:p>
        </w:tc>
      </w:tr>
      <w:tr w:rsidR="00794210" w:rsidRPr="00A07E93" w14:paraId="1DF9A8E5"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5B26CCA" w14:textId="340B4D0B" w:rsidR="00794210" w:rsidRPr="004F20A7" w:rsidRDefault="00794210" w:rsidP="00CF4D11">
            <w:pPr>
              <w:pStyle w:val="Tablenormalleft"/>
              <w:keepNext w:val="0"/>
              <w:widowControl w:val="0"/>
              <w:jc w:val="left"/>
              <w:rPr>
                <w:color w:val="000000"/>
                <w:szCs w:val="18"/>
              </w:rPr>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9046EA1" w14:textId="3A7A0427"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7A14E9E1" w14:textId="6C8DA2E5"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43-9022</w:t>
            </w:r>
          </w:p>
        </w:tc>
        <w:tc>
          <w:tcPr>
            <w:tcW w:w="2340" w:type="dxa"/>
            <w:tcBorders>
              <w:left w:val="single" w:sz="8" w:space="0" w:color="7BA0CD" w:themeColor="accent1" w:themeTint="BF"/>
              <w:right w:val="single" w:sz="8" w:space="0" w:color="7BA0CD" w:themeColor="accent1" w:themeTint="BF"/>
            </w:tcBorders>
          </w:tcPr>
          <w:p w14:paraId="0F5D6350" w14:textId="29D8E22F" w:rsidR="00794210" w:rsidRPr="004F20A7"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5A427B">
              <w:t>Word Processors and Typists</w:t>
            </w:r>
          </w:p>
        </w:tc>
        <w:tc>
          <w:tcPr>
            <w:tcW w:w="1080" w:type="dxa"/>
            <w:tcBorders>
              <w:left w:val="single" w:sz="8" w:space="0" w:color="7BA0CD" w:themeColor="accent1" w:themeTint="BF"/>
              <w:right w:val="single" w:sz="8" w:space="0" w:color="7BA0CD" w:themeColor="accent1" w:themeTint="BF"/>
            </w:tcBorders>
          </w:tcPr>
          <w:p w14:paraId="0CB7B03C" w14:textId="7A09AF58"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1.00</w:t>
            </w:r>
          </w:p>
        </w:tc>
        <w:tc>
          <w:tcPr>
            <w:tcW w:w="900" w:type="dxa"/>
            <w:tcBorders>
              <w:left w:val="single" w:sz="8" w:space="0" w:color="7BA0CD" w:themeColor="accent1" w:themeTint="BF"/>
              <w:right w:val="single" w:sz="8" w:space="0" w:color="7BA0CD" w:themeColor="accent1" w:themeTint="BF"/>
            </w:tcBorders>
          </w:tcPr>
          <w:p w14:paraId="7DF09BCD" w14:textId="602267E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68</w:t>
            </w:r>
          </w:p>
        </w:tc>
        <w:tc>
          <w:tcPr>
            <w:tcW w:w="900" w:type="dxa"/>
            <w:tcBorders>
              <w:left w:val="single" w:sz="8" w:space="0" w:color="7BA0CD" w:themeColor="accent1" w:themeTint="BF"/>
            </w:tcBorders>
          </w:tcPr>
          <w:p w14:paraId="1295F58C" w14:textId="691C119E" w:rsidR="00794210" w:rsidRPr="004F20A7"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5A427B">
              <w:t>81</w:t>
            </w:r>
          </w:p>
        </w:tc>
      </w:tr>
      <w:tr w:rsidR="00794210" w:rsidRPr="00A07E93" w14:paraId="4A1F7E63"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4ED84F34" w14:textId="310517E9" w:rsidR="00794210" w:rsidRPr="00EF7688" w:rsidRDefault="00794210" w:rsidP="00CF4D11">
            <w:pPr>
              <w:pStyle w:val="Tablenormalleft"/>
              <w:keepNext w:val="0"/>
              <w:widowControl w:val="0"/>
              <w:jc w:val="left"/>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5B635255" w14:textId="77F68776"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0C5A7BEC" w14:textId="549EDB71"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5A427B">
              <w:t>43-9041</w:t>
            </w:r>
          </w:p>
        </w:tc>
        <w:tc>
          <w:tcPr>
            <w:tcW w:w="2340" w:type="dxa"/>
            <w:tcBorders>
              <w:left w:val="single" w:sz="8" w:space="0" w:color="7BA0CD" w:themeColor="accent1" w:themeTint="BF"/>
              <w:right w:val="single" w:sz="8" w:space="0" w:color="7BA0CD" w:themeColor="accent1" w:themeTint="BF"/>
            </w:tcBorders>
          </w:tcPr>
          <w:p w14:paraId="0650B593" w14:textId="7CA3E84F"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5A427B">
              <w:t>Insurance Claims and Policy Processing Clerks</w:t>
            </w:r>
          </w:p>
        </w:tc>
        <w:tc>
          <w:tcPr>
            <w:tcW w:w="1080" w:type="dxa"/>
            <w:tcBorders>
              <w:left w:val="single" w:sz="8" w:space="0" w:color="7BA0CD" w:themeColor="accent1" w:themeTint="BF"/>
              <w:right w:val="single" w:sz="8" w:space="0" w:color="7BA0CD" w:themeColor="accent1" w:themeTint="BF"/>
            </w:tcBorders>
          </w:tcPr>
          <w:p w14:paraId="61527BA7" w14:textId="19AD58C5"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1.00</w:t>
            </w:r>
          </w:p>
        </w:tc>
        <w:tc>
          <w:tcPr>
            <w:tcW w:w="900" w:type="dxa"/>
            <w:tcBorders>
              <w:left w:val="single" w:sz="8" w:space="0" w:color="7BA0CD" w:themeColor="accent1" w:themeTint="BF"/>
              <w:right w:val="single" w:sz="8" w:space="0" w:color="7BA0CD" w:themeColor="accent1" w:themeTint="BF"/>
            </w:tcBorders>
          </w:tcPr>
          <w:p w14:paraId="345E98CD" w14:textId="0D3A3324"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65</w:t>
            </w:r>
          </w:p>
        </w:tc>
        <w:tc>
          <w:tcPr>
            <w:tcW w:w="900" w:type="dxa"/>
            <w:tcBorders>
              <w:left w:val="single" w:sz="8" w:space="0" w:color="7BA0CD" w:themeColor="accent1" w:themeTint="BF"/>
            </w:tcBorders>
          </w:tcPr>
          <w:p w14:paraId="2C18AFDD" w14:textId="06BAC67A"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77</w:t>
            </w:r>
          </w:p>
        </w:tc>
      </w:tr>
      <w:tr w:rsidR="00794210" w:rsidRPr="00A07E93" w14:paraId="41B3789A"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39B3A9EB" w14:textId="6CA9AA75" w:rsidR="00794210" w:rsidRPr="00EF7688" w:rsidRDefault="00794210" w:rsidP="00CF4D11">
            <w:pPr>
              <w:pStyle w:val="Tablenormalleft"/>
              <w:keepNext w:val="0"/>
              <w:widowControl w:val="0"/>
              <w:jc w:val="left"/>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C8A7A7C" w14:textId="66BD7835"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2789B6EC" w14:textId="783C895A"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5A427B">
              <w:t>43-9051</w:t>
            </w:r>
          </w:p>
        </w:tc>
        <w:tc>
          <w:tcPr>
            <w:tcW w:w="2340" w:type="dxa"/>
            <w:tcBorders>
              <w:left w:val="single" w:sz="8" w:space="0" w:color="7BA0CD" w:themeColor="accent1" w:themeTint="BF"/>
              <w:right w:val="single" w:sz="8" w:space="0" w:color="7BA0CD" w:themeColor="accent1" w:themeTint="BF"/>
            </w:tcBorders>
          </w:tcPr>
          <w:p w14:paraId="693B4756" w14:textId="31394DDC"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5A427B">
              <w:t>Mail Clerks and Mail Machine Operators, Except Postal Service</w:t>
            </w:r>
          </w:p>
        </w:tc>
        <w:tc>
          <w:tcPr>
            <w:tcW w:w="1080" w:type="dxa"/>
            <w:tcBorders>
              <w:left w:val="single" w:sz="8" w:space="0" w:color="7BA0CD" w:themeColor="accent1" w:themeTint="BF"/>
              <w:right w:val="single" w:sz="8" w:space="0" w:color="7BA0CD" w:themeColor="accent1" w:themeTint="BF"/>
            </w:tcBorders>
          </w:tcPr>
          <w:p w14:paraId="222C92A6" w14:textId="2ACBB921"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1.00</w:t>
            </w:r>
          </w:p>
        </w:tc>
        <w:tc>
          <w:tcPr>
            <w:tcW w:w="900" w:type="dxa"/>
            <w:tcBorders>
              <w:left w:val="single" w:sz="8" w:space="0" w:color="7BA0CD" w:themeColor="accent1" w:themeTint="BF"/>
              <w:right w:val="single" w:sz="8" w:space="0" w:color="7BA0CD" w:themeColor="accent1" w:themeTint="BF"/>
            </w:tcBorders>
          </w:tcPr>
          <w:p w14:paraId="2302AD11" w14:textId="1D995354"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80</w:t>
            </w:r>
          </w:p>
        </w:tc>
        <w:tc>
          <w:tcPr>
            <w:tcW w:w="900" w:type="dxa"/>
            <w:tcBorders>
              <w:left w:val="single" w:sz="8" w:space="0" w:color="7BA0CD" w:themeColor="accent1" w:themeTint="BF"/>
            </w:tcBorders>
          </w:tcPr>
          <w:p w14:paraId="38B638F2" w14:textId="12010504"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89</w:t>
            </w:r>
          </w:p>
        </w:tc>
      </w:tr>
      <w:tr w:rsidR="00794210" w:rsidRPr="00A07E93" w14:paraId="00FD73AA"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825C720" w14:textId="21A481A3" w:rsidR="00794210" w:rsidRPr="00EF7688" w:rsidRDefault="00794210" w:rsidP="00CF4D11">
            <w:pPr>
              <w:pStyle w:val="Tablenormalleft"/>
              <w:keepNext w:val="0"/>
              <w:widowControl w:val="0"/>
              <w:jc w:val="left"/>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7C54C5FA" w14:textId="16F55F09"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5B3C003B" w14:textId="083534D7"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5A427B">
              <w:t>43-9061</w:t>
            </w:r>
          </w:p>
        </w:tc>
        <w:tc>
          <w:tcPr>
            <w:tcW w:w="2340" w:type="dxa"/>
            <w:tcBorders>
              <w:left w:val="single" w:sz="8" w:space="0" w:color="7BA0CD" w:themeColor="accent1" w:themeTint="BF"/>
              <w:right w:val="single" w:sz="8" w:space="0" w:color="7BA0CD" w:themeColor="accent1" w:themeTint="BF"/>
            </w:tcBorders>
          </w:tcPr>
          <w:p w14:paraId="27E1AD61" w14:textId="2D1B3ACC"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5A427B">
              <w:t>Office Clerks, General</w:t>
            </w:r>
          </w:p>
        </w:tc>
        <w:tc>
          <w:tcPr>
            <w:tcW w:w="1080" w:type="dxa"/>
            <w:tcBorders>
              <w:left w:val="single" w:sz="8" w:space="0" w:color="7BA0CD" w:themeColor="accent1" w:themeTint="BF"/>
              <w:right w:val="single" w:sz="8" w:space="0" w:color="7BA0CD" w:themeColor="accent1" w:themeTint="BF"/>
            </w:tcBorders>
          </w:tcPr>
          <w:p w14:paraId="17C522D4" w14:textId="366D608E"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1.00</w:t>
            </w:r>
          </w:p>
        </w:tc>
        <w:tc>
          <w:tcPr>
            <w:tcW w:w="900" w:type="dxa"/>
            <w:tcBorders>
              <w:left w:val="single" w:sz="8" w:space="0" w:color="7BA0CD" w:themeColor="accent1" w:themeTint="BF"/>
              <w:right w:val="single" w:sz="8" w:space="0" w:color="7BA0CD" w:themeColor="accent1" w:themeTint="BF"/>
            </w:tcBorders>
          </w:tcPr>
          <w:p w14:paraId="00D5E886" w14:textId="1F58303E"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68</w:t>
            </w:r>
          </w:p>
        </w:tc>
        <w:tc>
          <w:tcPr>
            <w:tcW w:w="900" w:type="dxa"/>
            <w:tcBorders>
              <w:left w:val="single" w:sz="8" w:space="0" w:color="7BA0CD" w:themeColor="accent1" w:themeTint="BF"/>
            </w:tcBorders>
          </w:tcPr>
          <w:p w14:paraId="2946176D" w14:textId="405CE5CA"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80</w:t>
            </w:r>
          </w:p>
        </w:tc>
      </w:tr>
      <w:tr w:rsidR="00794210" w:rsidRPr="00A07E93" w14:paraId="03CB1345"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6823C03B" w14:textId="16012B1A" w:rsidR="00794210" w:rsidRPr="00EF7688" w:rsidRDefault="00794210" w:rsidP="00CF4D11">
            <w:pPr>
              <w:pStyle w:val="Tablenormalleft"/>
              <w:keepNext w:val="0"/>
              <w:widowControl w:val="0"/>
              <w:jc w:val="left"/>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3E927E76" w14:textId="20E9B977"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150A4558" w14:textId="587476B9"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5A427B">
              <w:t>43-9071</w:t>
            </w:r>
          </w:p>
        </w:tc>
        <w:tc>
          <w:tcPr>
            <w:tcW w:w="2340" w:type="dxa"/>
            <w:tcBorders>
              <w:left w:val="single" w:sz="8" w:space="0" w:color="7BA0CD" w:themeColor="accent1" w:themeTint="BF"/>
              <w:right w:val="single" w:sz="8" w:space="0" w:color="7BA0CD" w:themeColor="accent1" w:themeTint="BF"/>
            </w:tcBorders>
          </w:tcPr>
          <w:p w14:paraId="4612F797" w14:textId="7A85447D"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5A427B">
              <w:t>Office Machine Operators, Except Computer</w:t>
            </w:r>
          </w:p>
        </w:tc>
        <w:tc>
          <w:tcPr>
            <w:tcW w:w="1080" w:type="dxa"/>
            <w:tcBorders>
              <w:left w:val="single" w:sz="8" w:space="0" w:color="7BA0CD" w:themeColor="accent1" w:themeTint="BF"/>
              <w:right w:val="single" w:sz="8" w:space="0" w:color="7BA0CD" w:themeColor="accent1" w:themeTint="BF"/>
            </w:tcBorders>
          </w:tcPr>
          <w:p w14:paraId="60B145A7" w14:textId="7D212D55"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1.00</w:t>
            </w:r>
          </w:p>
        </w:tc>
        <w:tc>
          <w:tcPr>
            <w:tcW w:w="900" w:type="dxa"/>
            <w:tcBorders>
              <w:left w:val="single" w:sz="8" w:space="0" w:color="7BA0CD" w:themeColor="accent1" w:themeTint="BF"/>
              <w:right w:val="single" w:sz="8" w:space="0" w:color="7BA0CD" w:themeColor="accent1" w:themeTint="BF"/>
            </w:tcBorders>
          </w:tcPr>
          <w:p w14:paraId="0BCA03CB" w14:textId="12A0B921"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76</w:t>
            </w:r>
          </w:p>
        </w:tc>
        <w:tc>
          <w:tcPr>
            <w:tcW w:w="900" w:type="dxa"/>
            <w:tcBorders>
              <w:left w:val="single" w:sz="8" w:space="0" w:color="7BA0CD" w:themeColor="accent1" w:themeTint="BF"/>
            </w:tcBorders>
          </w:tcPr>
          <w:p w14:paraId="60003A57" w14:textId="5D5629B7"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86</w:t>
            </w:r>
          </w:p>
        </w:tc>
      </w:tr>
      <w:tr w:rsidR="00794210" w:rsidRPr="00A07E93" w14:paraId="5E5856E7" w14:textId="77777777" w:rsidTr="007942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12D694A9" w14:textId="6ECABDC5" w:rsidR="00794210" w:rsidRPr="00EF7688" w:rsidRDefault="00794210" w:rsidP="00CF4D11">
            <w:pPr>
              <w:pStyle w:val="Tablenormalleft"/>
              <w:keepNext w:val="0"/>
              <w:widowControl w:val="0"/>
              <w:jc w:val="left"/>
            </w:pPr>
            <w:r w:rsidRPr="00A304D0">
              <w:t xml:space="preserve"> </w:t>
            </w:r>
          </w:p>
        </w:tc>
        <w:tc>
          <w:tcPr>
            <w:tcW w:w="2340" w:type="dxa"/>
            <w:tcBorders>
              <w:left w:val="single" w:sz="8" w:space="0" w:color="7BA0CD" w:themeColor="accent1" w:themeTint="BF"/>
              <w:right w:val="single" w:sz="8" w:space="0" w:color="7BA0CD" w:themeColor="accent1" w:themeTint="BF"/>
            </w:tcBorders>
          </w:tcPr>
          <w:p w14:paraId="4D11C2A1" w14:textId="74D0473B"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A304D0">
              <w:t xml:space="preserve"> </w:t>
            </w:r>
          </w:p>
        </w:tc>
        <w:tc>
          <w:tcPr>
            <w:tcW w:w="900" w:type="dxa"/>
            <w:tcBorders>
              <w:left w:val="single" w:sz="8" w:space="0" w:color="7BA0CD" w:themeColor="accent1" w:themeTint="BF"/>
              <w:right w:val="single" w:sz="8" w:space="0" w:color="7BA0CD" w:themeColor="accent1" w:themeTint="BF"/>
            </w:tcBorders>
          </w:tcPr>
          <w:p w14:paraId="3D646CE9" w14:textId="6EC4BD90"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5A427B">
              <w:t>43-9199</w:t>
            </w:r>
          </w:p>
        </w:tc>
        <w:tc>
          <w:tcPr>
            <w:tcW w:w="2340" w:type="dxa"/>
            <w:tcBorders>
              <w:left w:val="single" w:sz="8" w:space="0" w:color="7BA0CD" w:themeColor="accent1" w:themeTint="BF"/>
              <w:right w:val="single" w:sz="8" w:space="0" w:color="7BA0CD" w:themeColor="accent1" w:themeTint="BF"/>
            </w:tcBorders>
          </w:tcPr>
          <w:p w14:paraId="50B2F8FD" w14:textId="512B9F69" w:rsidR="00794210" w:rsidRPr="00EF7688" w:rsidRDefault="00794210"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5A427B">
              <w:t>Office and Administrative Support Workers, All Other</w:t>
            </w:r>
          </w:p>
        </w:tc>
        <w:tc>
          <w:tcPr>
            <w:tcW w:w="1080" w:type="dxa"/>
            <w:tcBorders>
              <w:left w:val="single" w:sz="8" w:space="0" w:color="7BA0CD" w:themeColor="accent1" w:themeTint="BF"/>
              <w:right w:val="single" w:sz="8" w:space="0" w:color="7BA0CD" w:themeColor="accent1" w:themeTint="BF"/>
            </w:tcBorders>
          </w:tcPr>
          <w:p w14:paraId="7D06F3A6" w14:textId="436F6C0E"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0.99</w:t>
            </w:r>
          </w:p>
        </w:tc>
        <w:tc>
          <w:tcPr>
            <w:tcW w:w="900" w:type="dxa"/>
            <w:tcBorders>
              <w:left w:val="single" w:sz="8" w:space="0" w:color="7BA0CD" w:themeColor="accent1" w:themeTint="BF"/>
              <w:right w:val="single" w:sz="8" w:space="0" w:color="7BA0CD" w:themeColor="accent1" w:themeTint="BF"/>
            </w:tcBorders>
          </w:tcPr>
          <w:p w14:paraId="0EBE1D2C" w14:textId="70E1AA58"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57</w:t>
            </w:r>
          </w:p>
        </w:tc>
        <w:tc>
          <w:tcPr>
            <w:tcW w:w="900" w:type="dxa"/>
            <w:tcBorders>
              <w:left w:val="single" w:sz="8" w:space="0" w:color="7BA0CD" w:themeColor="accent1" w:themeTint="BF"/>
            </w:tcBorders>
          </w:tcPr>
          <w:p w14:paraId="2E71C9D2" w14:textId="674AC075" w:rsidR="00794210" w:rsidRPr="00EF7688" w:rsidRDefault="00794210"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5A427B">
              <w:t>68</w:t>
            </w:r>
          </w:p>
        </w:tc>
      </w:tr>
      <w:tr w:rsidR="00794210" w:rsidRPr="00A07E93" w14:paraId="26C96327" w14:textId="77777777" w:rsidTr="0079421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14:paraId="54208E27" w14:textId="2289F4A4" w:rsidR="00794210" w:rsidRPr="00EF7688" w:rsidRDefault="00794210" w:rsidP="00CF4D11">
            <w:pPr>
              <w:pStyle w:val="Tablenormalleft"/>
              <w:keepNext w:val="0"/>
              <w:widowControl w:val="0"/>
              <w:jc w:val="left"/>
            </w:pPr>
            <w:r w:rsidRPr="00A304D0">
              <w:t>52.0703</w:t>
            </w:r>
          </w:p>
        </w:tc>
        <w:tc>
          <w:tcPr>
            <w:tcW w:w="2340" w:type="dxa"/>
            <w:tcBorders>
              <w:left w:val="single" w:sz="8" w:space="0" w:color="7BA0CD" w:themeColor="accent1" w:themeTint="BF"/>
              <w:right w:val="single" w:sz="8" w:space="0" w:color="7BA0CD" w:themeColor="accent1" w:themeTint="BF"/>
            </w:tcBorders>
          </w:tcPr>
          <w:p w14:paraId="7FFA5544" w14:textId="0E94889F"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A304D0">
              <w:t>Small Business Administration/</w:t>
            </w:r>
            <w:r>
              <w:t xml:space="preserve"> </w:t>
            </w:r>
            <w:r w:rsidRPr="00A304D0">
              <w:t>Management</w:t>
            </w:r>
          </w:p>
        </w:tc>
        <w:tc>
          <w:tcPr>
            <w:tcW w:w="900" w:type="dxa"/>
            <w:tcBorders>
              <w:left w:val="single" w:sz="8" w:space="0" w:color="7BA0CD" w:themeColor="accent1" w:themeTint="BF"/>
              <w:right w:val="single" w:sz="8" w:space="0" w:color="7BA0CD" w:themeColor="accent1" w:themeTint="BF"/>
            </w:tcBorders>
          </w:tcPr>
          <w:p w14:paraId="41A60F82" w14:textId="04B55264"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5A427B">
              <w:t>11-9199</w:t>
            </w:r>
          </w:p>
        </w:tc>
        <w:tc>
          <w:tcPr>
            <w:tcW w:w="2340" w:type="dxa"/>
            <w:tcBorders>
              <w:left w:val="single" w:sz="8" w:space="0" w:color="7BA0CD" w:themeColor="accent1" w:themeTint="BF"/>
              <w:right w:val="single" w:sz="8" w:space="0" w:color="7BA0CD" w:themeColor="accent1" w:themeTint="BF"/>
            </w:tcBorders>
          </w:tcPr>
          <w:p w14:paraId="1AADC72B" w14:textId="4C809800" w:rsidR="00794210" w:rsidRPr="00EF7688" w:rsidRDefault="00794210"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5A427B">
              <w:t>Managers, All Other</w:t>
            </w:r>
          </w:p>
        </w:tc>
        <w:tc>
          <w:tcPr>
            <w:tcW w:w="1080" w:type="dxa"/>
            <w:tcBorders>
              <w:left w:val="single" w:sz="8" w:space="0" w:color="7BA0CD" w:themeColor="accent1" w:themeTint="BF"/>
              <w:right w:val="single" w:sz="8" w:space="0" w:color="7BA0CD" w:themeColor="accent1" w:themeTint="BF"/>
            </w:tcBorders>
          </w:tcPr>
          <w:p w14:paraId="17BE8767" w14:textId="423FBFA1"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0.01</w:t>
            </w:r>
          </w:p>
        </w:tc>
        <w:tc>
          <w:tcPr>
            <w:tcW w:w="900" w:type="dxa"/>
            <w:tcBorders>
              <w:left w:val="single" w:sz="8" w:space="0" w:color="7BA0CD" w:themeColor="accent1" w:themeTint="BF"/>
              <w:right w:val="single" w:sz="8" w:space="0" w:color="7BA0CD" w:themeColor="accent1" w:themeTint="BF"/>
            </w:tcBorders>
          </w:tcPr>
          <w:p w14:paraId="035D388A" w14:textId="085580F8"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38</w:t>
            </w:r>
          </w:p>
        </w:tc>
        <w:tc>
          <w:tcPr>
            <w:tcW w:w="900" w:type="dxa"/>
            <w:tcBorders>
              <w:left w:val="single" w:sz="8" w:space="0" w:color="7BA0CD" w:themeColor="accent1" w:themeTint="BF"/>
            </w:tcBorders>
          </w:tcPr>
          <w:p w14:paraId="2A4EA980" w14:textId="0E397582" w:rsidR="00794210" w:rsidRPr="00EF7688" w:rsidRDefault="00794210"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5A427B">
              <w:t>46</w:t>
            </w:r>
          </w:p>
        </w:tc>
      </w:tr>
    </w:tbl>
    <w:p w14:paraId="6F4646B2" w14:textId="146A7818" w:rsidR="00641562" w:rsidRDefault="00CB6C57" w:rsidP="00CB6C57">
      <w:r>
        <w:t>Completion data gathered for this analysis listed pro</w:t>
      </w:r>
      <w:r w:rsidR="004578CD">
        <w:t xml:space="preserve">grams and program codes by CIP. </w:t>
      </w:r>
      <w:r>
        <w:t xml:space="preserve">In order to </w:t>
      </w:r>
      <w:r w:rsidR="004578CD">
        <w:t>identify programs by the Taxonomy of Programs (TOP) as used by the California Community College a CIP to TOP crosswalk was used. Table A2.2 displays the entire CIP to TOP crosswalk as used in this analysis.</w:t>
      </w:r>
      <w:r w:rsidR="00794210">
        <w:t xml:space="preserve"> Note: Due to the fact that TOP codes are not as detailed as CIP codes, there are several different programs that have the same TOP codes and titles. In order to differentiate the programs with the same </w:t>
      </w:r>
      <w:r w:rsidR="000C43BF">
        <w:t>TOP codes and titles</w:t>
      </w:r>
      <w:r w:rsidR="00794210">
        <w:t>, refer to the CIP titles for further description of the programs.</w:t>
      </w:r>
    </w:p>
    <w:tbl>
      <w:tblPr>
        <w:tblStyle w:val="MediumShading1-Accent1"/>
        <w:tblW w:w="5000" w:type="pct"/>
        <w:tblLayout w:type="fixed"/>
        <w:tblLook w:val="04A0" w:firstRow="1" w:lastRow="0" w:firstColumn="1" w:lastColumn="0" w:noHBand="0" w:noVBand="1"/>
      </w:tblPr>
      <w:tblGrid>
        <w:gridCol w:w="1007"/>
        <w:gridCol w:w="3871"/>
        <w:gridCol w:w="900"/>
        <w:gridCol w:w="3798"/>
      </w:tblGrid>
      <w:tr w:rsidR="004578CD" w:rsidRPr="00A07E93" w14:paraId="17E0B709" w14:textId="77777777" w:rsidTr="004578C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shd w:val="clear" w:color="auto" w:fill="auto"/>
            <w:vAlign w:val="center"/>
          </w:tcPr>
          <w:p w14:paraId="46B138E6" w14:textId="617AA163" w:rsidR="004578CD" w:rsidRPr="004578CD" w:rsidRDefault="004578CD" w:rsidP="004578CD">
            <w:pPr>
              <w:pStyle w:val="Tabletitle"/>
              <w:rPr>
                <w:rFonts w:eastAsiaTheme="minorHAnsi"/>
                <w:b/>
              </w:rPr>
            </w:pPr>
            <w:r w:rsidRPr="00481101">
              <w:rPr>
                <w:rFonts w:eastAsiaTheme="minorHAnsi"/>
                <w:b/>
              </w:rPr>
              <w:lastRenderedPageBreak/>
              <w:t>Table A2.</w:t>
            </w:r>
            <w:r>
              <w:rPr>
                <w:rFonts w:eastAsiaTheme="minorHAnsi"/>
                <w:b/>
              </w:rPr>
              <w:t>2</w:t>
            </w:r>
            <w:r w:rsidRPr="00481101">
              <w:rPr>
                <w:rFonts w:eastAsiaTheme="minorHAnsi"/>
                <w:b/>
              </w:rPr>
              <w:t xml:space="preserve">: </w:t>
            </w:r>
            <w:r>
              <w:rPr>
                <w:rFonts w:eastAsiaTheme="minorHAnsi"/>
                <w:b/>
              </w:rPr>
              <w:t>CIP to TOP Program Mapping</w:t>
            </w:r>
          </w:p>
        </w:tc>
      </w:tr>
      <w:tr w:rsidR="004578CD" w:rsidRPr="00A07E93" w14:paraId="1D7BA245" w14:textId="77777777" w:rsidTr="00B35641">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526" w:type="pct"/>
            <w:tcBorders>
              <w:top w:val="nil"/>
              <w:right w:val="single" w:sz="8" w:space="0" w:color="7BA0CD" w:themeColor="accent1" w:themeTint="BF"/>
            </w:tcBorders>
            <w:shd w:val="clear" w:color="auto" w:fill="4F81BD" w:themeFill="accent1"/>
            <w:vAlign w:val="center"/>
          </w:tcPr>
          <w:p w14:paraId="044FDFBF" w14:textId="77777777" w:rsidR="004578CD" w:rsidRPr="00A07E93" w:rsidRDefault="004578CD" w:rsidP="004578CD">
            <w:pPr>
              <w:pStyle w:val="Tableheaderleft"/>
              <w:keepNext w:val="0"/>
              <w:widowControl w:val="0"/>
              <w:jc w:val="center"/>
              <w:rPr>
                <w:rFonts w:eastAsiaTheme="minorHAnsi"/>
              </w:rPr>
            </w:pPr>
            <w:r w:rsidRPr="00A07E93">
              <w:rPr>
                <w:rFonts w:eastAsiaTheme="minorHAnsi"/>
              </w:rPr>
              <w:t>CIP</w:t>
            </w:r>
          </w:p>
        </w:tc>
        <w:tc>
          <w:tcPr>
            <w:tcW w:w="2021" w:type="pct"/>
            <w:tcBorders>
              <w:top w:val="nil"/>
              <w:left w:val="single" w:sz="8" w:space="0" w:color="7BA0CD" w:themeColor="accent1" w:themeTint="BF"/>
              <w:right w:val="single" w:sz="8" w:space="0" w:color="7BA0CD" w:themeColor="accent1" w:themeTint="BF"/>
            </w:tcBorders>
            <w:shd w:val="clear" w:color="auto" w:fill="4F81BD" w:themeFill="accent1"/>
            <w:vAlign w:val="center"/>
          </w:tcPr>
          <w:p w14:paraId="074749F4" w14:textId="71F9D2EA" w:rsidR="004578CD" w:rsidRPr="00A07E93" w:rsidRDefault="00794210" w:rsidP="004578CD">
            <w:pPr>
              <w:pStyle w:val="Tableheaderleft"/>
              <w:keepNext w:val="0"/>
              <w:widowControl w:val="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CIP Title</w:t>
            </w:r>
          </w:p>
        </w:tc>
        <w:tc>
          <w:tcPr>
            <w:tcW w:w="470" w:type="pct"/>
            <w:tcBorders>
              <w:top w:val="nil"/>
              <w:left w:val="single" w:sz="8" w:space="0" w:color="7BA0CD" w:themeColor="accent1" w:themeTint="BF"/>
              <w:right w:val="single" w:sz="8" w:space="0" w:color="7BA0CD" w:themeColor="accent1" w:themeTint="BF"/>
            </w:tcBorders>
            <w:shd w:val="clear" w:color="auto" w:fill="4F81BD" w:themeFill="accent1"/>
            <w:vAlign w:val="center"/>
          </w:tcPr>
          <w:p w14:paraId="54ECC585" w14:textId="3846E38B" w:rsidR="004578CD" w:rsidRPr="00A07E93" w:rsidRDefault="00794210" w:rsidP="004578CD">
            <w:pPr>
              <w:pStyle w:val="Tableheaderleft"/>
              <w:keepNext w:val="0"/>
              <w:widowControl w:val="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TOP</w:t>
            </w:r>
          </w:p>
        </w:tc>
        <w:tc>
          <w:tcPr>
            <w:tcW w:w="1983" w:type="pct"/>
            <w:tcBorders>
              <w:top w:val="nil"/>
              <w:left w:val="single" w:sz="8" w:space="0" w:color="7BA0CD" w:themeColor="accent1" w:themeTint="BF"/>
              <w:right w:val="single" w:sz="8" w:space="0" w:color="7BA0CD" w:themeColor="accent1" w:themeTint="BF"/>
            </w:tcBorders>
            <w:shd w:val="clear" w:color="auto" w:fill="4F81BD" w:themeFill="accent1"/>
            <w:vAlign w:val="center"/>
          </w:tcPr>
          <w:p w14:paraId="1A625BC8" w14:textId="5494F203" w:rsidR="004578CD" w:rsidRPr="00A07E93" w:rsidRDefault="00794210" w:rsidP="004578CD">
            <w:pPr>
              <w:pStyle w:val="Tableheaderleft"/>
              <w:keepNext w:val="0"/>
              <w:widowControl w:val="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TOP Title</w:t>
            </w:r>
          </w:p>
        </w:tc>
      </w:tr>
      <w:tr w:rsidR="000C43BF" w:rsidRPr="00A07E93" w14:paraId="795A46D0"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2B0D04C3" w14:textId="299172B5" w:rsidR="000C43BF" w:rsidRPr="00284D6F" w:rsidRDefault="000C43BF" w:rsidP="000C43BF">
            <w:pPr>
              <w:pStyle w:val="Tablenormalleft"/>
              <w:keepNext w:val="0"/>
              <w:widowControl w:val="0"/>
              <w:jc w:val="left"/>
              <w:rPr>
                <w:rFonts w:eastAsiaTheme="minorHAnsi"/>
                <w:szCs w:val="18"/>
              </w:rPr>
            </w:pPr>
            <w:r w:rsidRPr="00BF73A9">
              <w:t>1</w:t>
            </w:r>
          </w:p>
        </w:tc>
        <w:tc>
          <w:tcPr>
            <w:tcW w:w="2021" w:type="pct"/>
            <w:tcBorders>
              <w:left w:val="single" w:sz="8" w:space="0" w:color="7BA0CD" w:themeColor="accent1" w:themeTint="BF"/>
              <w:right w:val="single" w:sz="8" w:space="0" w:color="7BA0CD" w:themeColor="accent1" w:themeTint="BF"/>
            </w:tcBorders>
            <w:vAlign w:val="center"/>
          </w:tcPr>
          <w:p w14:paraId="2D7C828F" w14:textId="72A3ABA9"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Agriculture, General</w:t>
            </w:r>
          </w:p>
        </w:tc>
        <w:tc>
          <w:tcPr>
            <w:tcW w:w="470" w:type="pct"/>
            <w:tcBorders>
              <w:left w:val="single" w:sz="8" w:space="0" w:color="7BA0CD" w:themeColor="accent1" w:themeTint="BF"/>
              <w:right w:val="single" w:sz="8" w:space="0" w:color="7BA0CD" w:themeColor="accent1" w:themeTint="BF"/>
            </w:tcBorders>
            <w:vAlign w:val="center"/>
          </w:tcPr>
          <w:p w14:paraId="1CA97A00" w14:textId="11DFB9E7"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101.00</w:t>
            </w:r>
          </w:p>
        </w:tc>
        <w:tc>
          <w:tcPr>
            <w:tcW w:w="1983" w:type="pct"/>
            <w:tcBorders>
              <w:left w:val="single" w:sz="8" w:space="0" w:color="7BA0CD" w:themeColor="accent1" w:themeTint="BF"/>
              <w:right w:val="single" w:sz="8" w:space="0" w:color="7BA0CD" w:themeColor="accent1" w:themeTint="BF"/>
            </w:tcBorders>
            <w:vAlign w:val="center"/>
          </w:tcPr>
          <w:p w14:paraId="2CBA0182" w14:textId="3E362F5A"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Agriculture Technology and Sciences, General</w:t>
            </w:r>
          </w:p>
        </w:tc>
      </w:tr>
      <w:tr w:rsidR="000C43BF" w:rsidRPr="00A07E93" w14:paraId="68E7922E"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75BA4C8" w14:textId="766C58E2" w:rsidR="000C43BF" w:rsidRPr="00284D6F" w:rsidRDefault="000C43BF" w:rsidP="000C43BF">
            <w:pPr>
              <w:pStyle w:val="Tablenormalleft"/>
              <w:keepNext w:val="0"/>
              <w:widowControl w:val="0"/>
              <w:jc w:val="left"/>
              <w:rPr>
                <w:rFonts w:eastAsiaTheme="minorHAnsi"/>
                <w:szCs w:val="18"/>
              </w:rPr>
            </w:pPr>
            <w:r w:rsidRPr="00BF73A9">
              <w:t>1.0101</w:t>
            </w:r>
          </w:p>
        </w:tc>
        <w:tc>
          <w:tcPr>
            <w:tcW w:w="2021" w:type="pct"/>
            <w:tcBorders>
              <w:left w:val="single" w:sz="8" w:space="0" w:color="7BA0CD" w:themeColor="accent1" w:themeTint="BF"/>
              <w:right w:val="single" w:sz="8" w:space="0" w:color="7BA0CD" w:themeColor="accent1" w:themeTint="BF"/>
            </w:tcBorders>
            <w:vAlign w:val="center"/>
          </w:tcPr>
          <w:p w14:paraId="31CD52DE" w14:textId="12116C90"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Agricultural Business and Management, General</w:t>
            </w:r>
          </w:p>
        </w:tc>
        <w:tc>
          <w:tcPr>
            <w:tcW w:w="470" w:type="pct"/>
            <w:tcBorders>
              <w:left w:val="single" w:sz="8" w:space="0" w:color="7BA0CD" w:themeColor="accent1" w:themeTint="BF"/>
              <w:right w:val="single" w:sz="8" w:space="0" w:color="7BA0CD" w:themeColor="accent1" w:themeTint="BF"/>
            </w:tcBorders>
            <w:vAlign w:val="center"/>
          </w:tcPr>
          <w:p w14:paraId="2CF0C9B2" w14:textId="47D6D161"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101.00</w:t>
            </w:r>
          </w:p>
        </w:tc>
        <w:tc>
          <w:tcPr>
            <w:tcW w:w="1983" w:type="pct"/>
            <w:tcBorders>
              <w:left w:val="single" w:sz="8" w:space="0" w:color="7BA0CD" w:themeColor="accent1" w:themeTint="BF"/>
              <w:right w:val="single" w:sz="8" w:space="0" w:color="7BA0CD" w:themeColor="accent1" w:themeTint="BF"/>
            </w:tcBorders>
            <w:vAlign w:val="center"/>
          </w:tcPr>
          <w:p w14:paraId="2C766A3D" w14:textId="7477F7C1"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Agriculture Technology and Sciences, General</w:t>
            </w:r>
          </w:p>
        </w:tc>
      </w:tr>
      <w:tr w:rsidR="000C43BF" w:rsidRPr="00A07E93" w14:paraId="714EDE4E"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6DFCCF9" w14:textId="10589D4C" w:rsidR="000C43BF" w:rsidRPr="00284D6F" w:rsidRDefault="000C43BF" w:rsidP="000C43BF">
            <w:pPr>
              <w:pStyle w:val="Tablenormalleft"/>
              <w:keepNext w:val="0"/>
              <w:widowControl w:val="0"/>
              <w:jc w:val="left"/>
              <w:rPr>
                <w:rFonts w:eastAsiaTheme="minorHAnsi"/>
                <w:szCs w:val="18"/>
              </w:rPr>
            </w:pPr>
            <w:r w:rsidRPr="00BF73A9">
              <w:t>1.0102</w:t>
            </w:r>
          </w:p>
        </w:tc>
        <w:tc>
          <w:tcPr>
            <w:tcW w:w="2021" w:type="pct"/>
            <w:tcBorders>
              <w:left w:val="single" w:sz="8" w:space="0" w:color="7BA0CD" w:themeColor="accent1" w:themeTint="BF"/>
              <w:right w:val="single" w:sz="8" w:space="0" w:color="7BA0CD" w:themeColor="accent1" w:themeTint="BF"/>
            </w:tcBorders>
            <w:vAlign w:val="center"/>
          </w:tcPr>
          <w:p w14:paraId="22C73344" w14:textId="2F61793C"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Agribusiness/Agricultural Business Operations</w:t>
            </w:r>
          </w:p>
        </w:tc>
        <w:tc>
          <w:tcPr>
            <w:tcW w:w="470" w:type="pct"/>
            <w:tcBorders>
              <w:left w:val="single" w:sz="8" w:space="0" w:color="7BA0CD" w:themeColor="accent1" w:themeTint="BF"/>
              <w:right w:val="single" w:sz="8" w:space="0" w:color="7BA0CD" w:themeColor="accent1" w:themeTint="BF"/>
            </w:tcBorders>
            <w:vAlign w:val="center"/>
          </w:tcPr>
          <w:p w14:paraId="4F068421" w14:textId="7B3BAA62"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112.00</w:t>
            </w:r>
          </w:p>
        </w:tc>
        <w:tc>
          <w:tcPr>
            <w:tcW w:w="1983" w:type="pct"/>
            <w:tcBorders>
              <w:left w:val="single" w:sz="8" w:space="0" w:color="7BA0CD" w:themeColor="accent1" w:themeTint="BF"/>
              <w:right w:val="single" w:sz="8" w:space="0" w:color="7BA0CD" w:themeColor="accent1" w:themeTint="BF"/>
            </w:tcBorders>
            <w:vAlign w:val="center"/>
          </w:tcPr>
          <w:p w14:paraId="4807CA51" w14:textId="353855E1"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Agriculture Business, Sales and Service</w:t>
            </w:r>
          </w:p>
        </w:tc>
      </w:tr>
      <w:tr w:rsidR="000C43BF" w:rsidRPr="00A07E93" w14:paraId="25A50D4E"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9B33D0F" w14:textId="692CEF61" w:rsidR="000C43BF" w:rsidRPr="00284D6F" w:rsidRDefault="000C43BF" w:rsidP="000C43BF">
            <w:pPr>
              <w:pStyle w:val="Tablenormalleft"/>
              <w:keepNext w:val="0"/>
              <w:widowControl w:val="0"/>
              <w:jc w:val="left"/>
              <w:rPr>
                <w:rFonts w:eastAsiaTheme="minorHAnsi"/>
                <w:szCs w:val="18"/>
              </w:rPr>
            </w:pPr>
            <w:r w:rsidRPr="00BF73A9">
              <w:t>1.0205</w:t>
            </w:r>
          </w:p>
        </w:tc>
        <w:tc>
          <w:tcPr>
            <w:tcW w:w="2021" w:type="pct"/>
            <w:tcBorders>
              <w:left w:val="single" w:sz="8" w:space="0" w:color="7BA0CD" w:themeColor="accent1" w:themeTint="BF"/>
              <w:right w:val="single" w:sz="8" w:space="0" w:color="7BA0CD" w:themeColor="accent1" w:themeTint="BF"/>
            </w:tcBorders>
            <w:vAlign w:val="center"/>
          </w:tcPr>
          <w:p w14:paraId="6C3A69D9" w14:textId="1F180F31"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Agricultural Mechanics and Equipment/Machine Technology</w:t>
            </w:r>
          </w:p>
        </w:tc>
        <w:tc>
          <w:tcPr>
            <w:tcW w:w="470" w:type="pct"/>
            <w:tcBorders>
              <w:left w:val="single" w:sz="8" w:space="0" w:color="7BA0CD" w:themeColor="accent1" w:themeTint="BF"/>
              <w:right w:val="single" w:sz="8" w:space="0" w:color="7BA0CD" w:themeColor="accent1" w:themeTint="BF"/>
            </w:tcBorders>
            <w:vAlign w:val="center"/>
          </w:tcPr>
          <w:p w14:paraId="17FB9E59" w14:textId="2D8CE097"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116.00</w:t>
            </w:r>
          </w:p>
        </w:tc>
        <w:tc>
          <w:tcPr>
            <w:tcW w:w="1983" w:type="pct"/>
            <w:tcBorders>
              <w:left w:val="single" w:sz="8" w:space="0" w:color="7BA0CD" w:themeColor="accent1" w:themeTint="BF"/>
              <w:right w:val="single" w:sz="8" w:space="0" w:color="7BA0CD" w:themeColor="accent1" w:themeTint="BF"/>
            </w:tcBorders>
            <w:vAlign w:val="center"/>
          </w:tcPr>
          <w:p w14:paraId="2AF68131" w14:textId="1BA20433"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Agricultural Power Equipment Technology</w:t>
            </w:r>
          </w:p>
        </w:tc>
      </w:tr>
      <w:tr w:rsidR="000C43BF" w:rsidRPr="00A07E93" w14:paraId="14832597"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7FC1DEF" w14:textId="1A7D2041" w:rsidR="000C43BF" w:rsidRPr="00284D6F" w:rsidRDefault="000C43BF" w:rsidP="000C43BF">
            <w:pPr>
              <w:pStyle w:val="Tablenormalleft"/>
              <w:keepNext w:val="0"/>
              <w:widowControl w:val="0"/>
              <w:jc w:val="left"/>
              <w:rPr>
                <w:rFonts w:eastAsiaTheme="minorHAnsi"/>
                <w:szCs w:val="18"/>
              </w:rPr>
            </w:pPr>
            <w:r w:rsidRPr="00BF73A9">
              <w:t>1.0299</w:t>
            </w:r>
          </w:p>
        </w:tc>
        <w:tc>
          <w:tcPr>
            <w:tcW w:w="2021" w:type="pct"/>
            <w:tcBorders>
              <w:left w:val="single" w:sz="8" w:space="0" w:color="7BA0CD" w:themeColor="accent1" w:themeTint="BF"/>
              <w:right w:val="single" w:sz="8" w:space="0" w:color="7BA0CD" w:themeColor="accent1" w:themeTint="BF"/>
            </w:tcBorders>
            <w:vAlign w:val="center"/>
          </w:tcPr>
          <w:p w14:paraId="2E15474C" w14:textId="4DE062F3"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Agricultural Mechanization, Other.</w:t>
            </w:r>
          </w:p>
        </w:tc>
        <w:tc>
          <w:tcPr>
            <w:tcW w:w="470" w:type="pct"/>
            <w:tcBorders>
              <w:left w:val="single" w:sz="8" w:space="0" w:color="7BA0CD" w:themeColor="accent1" w:themeTint="BF"/>
              <w:right w:val="single" w:sz="8" w:space="0" w:color="7BA0CD" w:themeColor="accent1" w:themeTint="BF"/>
            </w:tcBorders>
            <w:vAlign w:val="center"/>
          </w:tcPr>
          <w:p w14:paraId="015CF08D" w14:textId="4208EFC4"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116.00</w:t>
            </w:r>
          </w:p>
        </w:tc>
        <w:tc>
          <w:tcPr>
            <w:tcW w:w="1983" w:type="pct"/>
            <w:tcBorders>
              <w:left w:val="single" w:sz="8" w:space="0" w:color="7BA0CD" w:themeColor="accent1" w:themeTint="BF"/>
              <w:right w:val="single" w:sz="8" w:space="0" w:color="7BA0CD" w:themeColor="accent1" w:themeTint="BF"/>
            </w:tcBorders>
            <w:vAlign w:val="center"/>
          </w:tcPr>
          <w:p w14:paraId="6584FEB4" w14:textId="02DE5651"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Agricultural Power Equipment Technology</w:t>
            </w:r>
          </w:p>
        </w:tc>
      </w:tr>
      <w:tr w:rsidR="000C43BF" w:rsidRPr="00A07E93" w14:paraId="6C3DB861"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0645C93B" w14:textId="5511E30F" w:rsidR="000C43BF" w:rsidRPr="00284D6F" w:rsidRDefault="000C43BF" w:rsidP="000C43BF">
            <w:pPr>
              <w:pStyle w:val="Tablenormalleft"/>
              <w:keepNext w:val="0"/>
              <w:widowControl w:val="0"/>
              <w:jc w:val="left"/>
              <w:rPr>
                <w:rFonts w:eastAsiaTheme="minorHAnsi"/>
                <w:szCs w:val="18"/>
              </w:rPr>
            </w:pPr>
            <w:r w:rsidRPr="00BF73A9">
              <w:t>1.0302</w:t>
            </w:r>
          </w:p>
        </w:tc>
        <w:tc>
          <w:tcPr>
            <w:tcW w:w="2021" w:type="pct"/>
            <w:tcBorders>
              <w:left w:val="single" w:sz="8" w:space="0" w:color="7BA0CD" w:themeColor="accent1" w:themeTint="BF"/>
              <w:right w:val="single" w:sz="8" w:space="0" w:color="7BA0CD" w:themeColor="accent1" w:themeTint="BF"/>
            </w:tcBorders>
            <w:vAlign w:val="center"/>
          </w:tcPr>
          <w:p w14:paraId="3E4598D4" w14:textId="37DAF378"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Animal/Livestock Husbandry and Production</w:t>
            </w:r>
          </w:p>
        </w:tc>
        <w:tc>
          <w:tcPr>
            <w:tcW w:w="470" w:type="pct"/>
            <w:tcBorders>
              <w:left w:val="single" w:sz="8" w:space="0" w:color="7BA0CD" w:themeColor="accent1" w:themeTint="BF"/>
              <w:right w:val="single" w:sz="8" w:space="0" w:color="7BA0CD" w:themeColor="accent1" w:themeTint="BF"/>
            </w:tcBorders>
            <w:vAlign w:val="center"/>
          </w:tcPr>
          <w:p w14:paraId="0F04BFEE" w14:textId="30C40DB8"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102.00</w:t>
            </w:r>
          </w:p>
        </w:tc>
        <w:tc>
          <w:tcPr>
            <w:tcW w:w="1983" w:type="pct"/>
            <w:tcBorders>
              <w:left w:val="single" w:sz="8" w:space="0" w:color="7BA0CD" w:themeColor="accent1" w:themeTint="BF"/>
              <w:right w:val="single" w:sz="8" w:space="0" w:color="7BA0CD" w:themeColor="accent1" w:themeTint="BF"/>
            </w:tcBorders>
            <w:vAlign w:val="center"/>
          </w:tcPr>
          <w:p w14:paraId="4443C8CE" w14:textId="2F4C4B74"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Animal Science</w:t>
            </w:r>
          </w:p>
        </w:tc>
      </w:tr>
      <w:tr w:rsidR="000C43BF" w:rsidRPr="00A07E93" w14:paraId="397FB4AB"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6D7445F" w14:textId="0C255EF4" w:rsidR="000C43BF" w:rsidRPr="00284D6F" w:rsidRDefault="000C43BF" w:rsidP="000C43BF">
            <w:pPr>
              <w:pStyle w:val="Tablenormalleft"/>
              <w:keepNext w:val="0"/>
              <w:widowControl w:val="0"/>
              <w:jc w:val="left"/>
              <w:rPr>
                <w:rFonts w:eastAsiaTheme="minorHAnsi"/>
                <w:szCs w:val="18"/>
              </w:rPr>
            </w:pPr>
            <w:r w:rsidRPr="00BF73A9">
              <w:t>1.0304</w:t>
            </w:r>
          </w:p>
        </w:tc>
        <w:tc>
          <w:tcPr>
            <w:tcW w:w="2021" w:type="pct"/>
            <w:tcBorders>
              <w:left w:val="single" w:sz="8" w:space="0" w:color="7BA0CD" w:themeColor="accent1" w:themeTint="BF"/>
              <w:right w:val="single" w:sz="8" w:space="0" w:color="7BA0CD" w:themeColor="accent1" w:themeTint="BF"/>
            </w:tcBorders>
            <w:vAlign w:val="center"/>
          </w:tcPr>
          <w:p w14:paraId="5B66AFFA" w14:textId="52DA870D"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Crop Production</w:t>
            </w:r>
          </w:p>
        </w:tc>
        <w:tc>
          <w:tcPr>
            <w:tcW w:w="470" w:type="pct"/>
            <w:tcBorders>
              <w:left w:val="single" w:sz="8" w:space="0" w:color="7BA0CD" w:themeColor="accent1" w:themeTint="BF"/>
              <w:right w:val="single" w:sz="8" w:space="0" w:color="7BA0CD" w:themeColor="accent1" w:themeTint="BF"/>
            </w:tcBorders>
            <w:vAlign w:val="center"/>
          </w:tcPr>
          <w:p w14:paraId="0D79DDE5" w14:textId="589B35E1"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103.00</w:t>
            </w:r>
          </w:p>
        </w:tc>
        <w:tc>
          <w:tcPr>
            <w:tcW w:w="1983" w:type="pct"/>
            <w:tcBorders>
              <w:left w:val="single" w:sz="8" w:space="0" w:color="7BA0CD" w:themeColor="accent1" w:themeTint="BF"/>
              <w:right w:val="single" w:sz="8" w:space="0" w:color="7BA0CD" w:themeColor="accent1" w:themeTint="BF"/>
            </w:tcBorders>
            <w:vAlign w:val="center"/>
          </w:tcPr>
          <w:p w14:paraId="17424607" w14:textId="17BF475F"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Plant Science</w:t>
            </w:r>
          </w:p>
        </w:tc>
      </w:tr>
      <w:tr w:rsidR="000C43BF" w:rsidRPr="00A07E93" w14:paraId="1CF91764"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342C7DA" w14:textId="0C2DE532" w:rsidR="000C43BF" w:rsidRPr="00284D6F" w:rsidRDefault="000C43BF" w:rsidP="000C43BF">
            <w:pPr>
              <w:pStyle w:val="Tablenormalleft"/>
              <w:keepNext w:val="0"/>
              <w:widowControl w:val="0"/>
              <w:jc w:val="left"/>
              <w:rPr>
                <w:rFonts w:eastAsiaTheme="minorHAnsi"/>
                <w:szCs w:val="18"/>
              </w:rPr>
            </w:pPr>
            <w:r w:rsidRPr="00BF73A9">
              <w:t>1.0899</w:t>
            </w:r>
          </w:p>
        </w:tc>
        <w:tc>
          <w:tcPr>
            <w:tcW w:w="2021" w:type="pct"/>
            <w:tcBorders>
              <w:left w:val="single" w:sz="8" w:space="0" w:color="7BA0CD" w:themeColor="accent1" w:themeTint="BF"/>
              <w:right w:val="single" w:sz="8" w:space="0" w:color="7BA0CD" w:themeColor="accent1" w:themeTint="BF"/>
            </w:tcBorders>
            <w:vAlign w:val="center"/>
          </w:tcPr>
          <w:p w14:paraId="63F9FE30" w14:textId="4081E488"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Agricultural Public Services, Other.</w:t>
            </w:r>
          </w:p>
        </w:tc>
        <w:tc>
          <w:tcPr>
            <w:tcW w:w="470" w:type="pct"/>
            <w:tcBorders>
              <w:left w:val="single" w:sz="8" w:space="0" w:color="7BA0CD" w:themeColor="accent1" w:themeTint="BF"/>
              <w:right w:val="single" w:sz="8" w:space="0" w:color="7BA0CD" w:themeColor="accent1" w:themeTint="BF"/>
            </w:tcBorders>
            <w:vAlign w:val="center"/>
          </w:tcPr>
          <w:p w14:paraId="08996B5B" w14:textId="4A9BFBBC"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116.00</w:t>
            </w:r>
          </w:p>
        </w:tc>
        <w:tc>
          <w:tcPr>
            <w:tcW w:w="1983" w:type="pct"/>
            <w:tcBorders>
              <w:left w:val="single" w:sz="8" w:space="0" w:color="7BA0CD" w:themeColor="accent1" w:themeTint="BF"/>
              <w:right w:val="single" w:sz="8" w:space="0" w:color="7BA0CD" w:themeColor="accent1" w:themeTint="BF"/>
            </w:tcBorders>
            <w:vAlign w:val="center"/>
          </w:tcPr>
          <w:p w14:paraId="00B83577" w14:textId="1295C687"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Agricultural Power Equipment Technology</w:t>
            </w:r>
          </w:p>
        </w:tc>
      </w:tr>
      <w:tr w:rsidR="000C43BF" w:rsidRPr="00A07E93" w14:paraId="06BAA42A"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B032734" w14:textId="407BA0FD" w:rsidR="000C43BF" w:rsidRPr="00284D6F" w:rsidRDefault="000C43BF" w:rsidP="000C43BF">
            <w:pPr>
              <w:pStyle w:val="Tablenormalleft"/>
              <w:keepNext w:val="0"/>
              <w:widowControl w:val="0"/>
              <w:jc w:val="left"/>
              <w:rPr>
                <w:rFonts w:eastAsiaTheme="minorHAnsi"/>
                <w:szCs w:val="18"/>
              </w:rPr>
            </w:pPr>
            <w:r w:rsidRPr="00BF73A9">
              <w:t>1.1299</w:t>
            </w:r>
          </w:p>
        </w:tc>
        <w:tc>
          <w:tcPr>
            <w:tcW w:w="2021" w:type="pct"/>
            <w:tcBorders>
              <w:left w:val="single" w:sz="8" w:space="0" w:color="7BA0CD" w:themeColor="accent1" w:themeTint="BF"/>
              <w:right w:val="single" w:sz="8" w:space="0" w:color="7BA0CD" w:themeColor="accent1" w:themeTint="BF"/>
            </w:tcBorders>
            <w:vAlign w:val="center"/>
          </w:tcPr>
          <w:p w14:paraId="6303C17E" w14:textId="0E45DE06"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Soil Sciences, Other</w:t>
            </w:r>
          </w:p>
        </w:tc>
        <w:tc>
          <w:tcPr>
            <w:tcW w:w="470" w:type="pct"/>
            <w:tcBorders>
              <w:left w:val="single" w:sz="8" w:space="0" w:color="7BA0CD" w:themeColor="accent1" w:themeTint="BF"/>
              <w:right w:val="single" w:sz="8" w:space="0" w:color="7BA0CD" w:themeColor="accent1" w:themeTint="BF"/>
            </w:tcBorders>
            <w:vAlign w:val="center"/>
          </w:tcPr>
          <w:p w14:paraId="2222E32E" w14:textId="3DFDEE51"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103.00</w:t>
            </w:r>
          </w:p>
        </w:tc>
        <w:tc>
          <w:tcPr>
            <w:tcW w:w="1983" w:type="pct"/>
            <w:tcBorders>
              <w:left w:val="single" w:sz="8" w:space="0" w:color="7BA0CD" w:themeColor="accent1" w:themeTint="BF"/>
              <w:right w:val="single" w:sz="8" w:space="0" w:color="7BA0CD" w:themeColor="accent1" w:themeTint="BF"/>
            </w:tcBorders>
            <w:vAlign w:val="center"/>
          </w:tcPr>
          <w:p w14:paraId="2F721E79" w14:textId="5F5BCE8C"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Plant Science</w:t>
            </w:r>
          </w:p>
        </w:tc>
      </w:tr>
      <w:tr w:rsidR="000C43BF" w:rsidRPr="00A07E93" w14:paraId="6973576E"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138955B" w14:textId="4AE29840" w:rsidR="000C43BF" w:rsidRPr="00284D6F" w:rsidRDefault="000C43BF" w:rsidP="000C43BF">
            <w:pPr>
              <w:pStyle w:val="Tablenormalleft"/>
              <w:keepNext w:val="0"/>
              <w:widowControl w:val="0"/>
              <w:jc w:val="left"/>
              <w:rPr>
                <w:rFonts w:eastAsiaTheme="minorHAnsi"/>
                <w:szCs w:val="18"/>
              </w:rPr>
            </w:pPr>
            <w:r w:rsidRPr="00BF73A9">
              <w:t>3.0101</w:t>
            </w:r>
          </w:p>
        </w:tc>
        <w:tc>
          <w:tcPr>
            <w:tcW w:w="2021" w:type="pct"/>
            <w:tcBorders>
              <w:left w:val="single" w:sz="8" w:space="0" w:color="7BA0CD" w:themeColor="accent1" w:themeTint="BF"/>
              <w:right w:val="single" w:sz="8" w:space="0" w:color="7BA0CD" w:themeColor="accent1" w:themeTint="BF"/>
            </w:tcBorders>
            <w:vAlign w:val="center"/>
          </w:tcPr>
          <w:p w14:paraId="32C6A372" w14:textId="6DCF961D"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 xml:space="preserve">Natural </w:t>
            </w:r>
            <w:r w:rsidR="006C38C7" w:rsidRPr="007B4E83">
              <w:t>Resou</w:t>
            </w:r>
            <w:r w:rsidR="006C38C7">
              <w:t>rce</w:t>
            </w:r>
            <w:r w:rsidR="006C38C7" w:rsidRPr="007B4E83">
              <w:t>s</w:t>
            </w:r>
            <w:r w:rsidRPr="007B4E83">
              <w:t>/Conservation, General</w:t>
            </w:r>
          </w:p>
        </w:tc>
        <w:tc>
          <w:tcPr>
            <w:tcW w:w="470" w:type="pct"/>
            <w:tcBorders>
              <w:left w:val="single" w:sz="8" w:space="0" w:color="7BA0CD" w:themeColor="accent1" w:themeTint="BF"/>
              <w:right w:val="single" w:sz="8" w:space="0" w:color="7BA0CD" w:themeColor="accent1" w:themeTint="BF"/>
            </w:tcBorders>
            <w:vAlign w:val="center"/>
          </w:tcPr>
          <w:p w14:paraId="097908A9" w14:textId="55B813D1"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115.00</w:t>
            </w:r>
          </w:p>
        </w:tc>
        <w:tc>
          <w:tcPr>
            <w:tcW w:w="1983" w:type="pct"/>
            <w:tcBorders>
              <w:left w:val="single" w:sz="8" w:space="0" w:color="7BA0CD" w:themeColor="accent1" w:themeTint="BF"/>
              <w:right w:val="single" w:sz="8" w:space="0" w:color="7BA0CD" w:themeColor="accent1" w:themeTint="BF"/>
            </w:tcBorders>
            <w:vAlign w:val="center"/>
          </w:tcPr>
          <w:p w14:paraId="034DF05F" w14:textId="20CD4506" w:rsidR="000C43BF" w:rsidRPr="00284D6F"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 xml:space="preserve">Natural </w:t>
            </w:r>
            <w:r w:rsidR="006C38C7" w:rsidRPr="006124BB">
              <w:t>Resou</w:t>
            </w:r>
            <w:r w:rsidR="006C38C7">
              <w:t>rce</w:t>
            </w:r>
            <w:r w:rsidR="006C38C7" w:rsidRPr="006124BB">
              <w:t>s</w:t>
            </w:r>
          </w:p>
        </w:tc>
      </w:tr>
      <w:tr w:rsidR="000C43BF" w:rsidRPr="00A07E93" w14:paraId="0D0BAB16"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08EE1405" w14:textId="45FEDEF1" w:rsidR="000C43BF" w:rsidRPr="00284D6F" w:rsidRDefault="000C43BF" w:rsidP="000C43BF">
            <w:pPr>
              <w:pStyle w:val="Tablenormalleft"/>
              <w:keepNext w:val="0"/>
              <w:widowControl w:val="0"/>
              <w:jc w:val="left"/>
              <w:rPr>
                <w:rFonts w:eastAsiaTheme="minorHAnsi"/>
                <w:szCs w:val="18"/>
              </w:rPr>
            </w:pPr>
            <w:r w:rsidRPr="00BF73A9">
              <w:t>3.0501</w:t>
            </w:r>
          </w:p>
        </w:tc>
        <w:tc>
          <w:tcPr>
            <w:tcW w:w="2021" w:type="pct"/>
            <w:tcBorders>
              <w:left w:val="single" w:sz="8" w:space="0" w:color="7BA0CD" w:themeColor="accent1" w:themeTint="BF"/>
              <w:right w:val="single" w:sz="8" w:space="0" w:color="7BA0CD" w:themeColor="accent1" w:themeTint="BF"/>
            </w:tcBorders>
            <w:vAlign w:val="center"/>
          </w:tcPr>
          <w:p w14:paraId="3082BD5D" w14:textId="6916E74D"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Forestry, General</w:t>
            </w:r>
          </w:p>
        </w:tc>
        <w:tc>
          <w:tcPr>
            <w:tcW w:w="470" w:type="pct"/>
            <w:tcBorders>
              <w:left w:val="single" w:sz="8" w:space="0" w:color="7BA0CD" w:themeColor="accent1" w:themeTint="BF"/>
              <w:right w:val="single" w:sz="8" w:space="0" w:color="7BA0CD" w:themeColor="accent1" w:themeTint="BF"/>
            </w:tcBorders>
            <w:vAlign w:val="center"/>
          </w:tcPr>
          <w:p w14:paraId="22A75F72" w14:textId="10349923"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114.00</w:t>
            </w:r>
          </w:p>
        </w:tc>
        <w:tc>
          <w:tcPr>
            <w:tcW w:w="1983" w:type="pct"/>
            <w:tcBorders>
              <w:left w:val="single" w:sz="8" w:space="0" w:color="7BA0CD" w:themeColor="accent1" w:themeTint="BF"/>
              <w:right w:val="single" w:sz="8" w:space="0" w:color="7BA0CD" w:themeColor="accent1" w:themeTint="BF"/>
            </w:tcBorders>
            <w:vAlign w:val="center"/>
          </w:tcPr>
          <w:p w14:paraId="0A0556E8" w14:textId="529D73C1" w:rsidR="000C43BF" w:rsidRPr="00284D6F"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Forestry</w:t>
            </w:r>
          </w:p>
        </w:tc>
      </w:tr>
      <w:tr w:rsidR="000C43BF" w:rsidRPr="00A07E93" w14:paraId="7995A719"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3AF2956" w14:textId="7F52F0DD" w:rsidR="000C43BF" w:rsidRPr="004F20A7" w:rsidRDefault="000C43BF" w:rsidP="000C43BF">
            <w:pPr>
              <w:pStyle w:val="Tablenormalleft"/>
              <w:keepNext w:val="0"/>
              <w:widowControl w:val="0"/>
              <w:jc w:val="left"/>
              <w:rPr>
                <w:rFonts w:eastAsiaTheme="minorHAnsi"/>
                <w:szCs w:val="18"/>
              </w:rPr>
            </w:pPr>
            <w:r w:rsidRPr="00BF73A9">
              <w:t>3.0511</w:t>
            </w:r>
          </w:p>
        </w:tc>
        <w:tc>
          <w:tcPr>
            <w:tcW w:w="2021" w:type="pct"/>
            <w:tcBorders>
              <w:left w:val="single" w:sz="8" w:space="0" w:color="7BA0CD" w:themeColor="accent1" w:themeTint="BF"/>
              <w:right w:val="single" w:sz="8" w:space="0" w:color="7BA0CD" w:themeColor="accent1" w:themeTint="BF"/>
            </w:tcBorders>
            <w:vAlign w:val="center"/>
          </w:tcPr>
          <w:p w14:paraId="41D18083" w14:textId="56A7CE94"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Forestry and Conservation Technicians</w:t>
            </w:r>
          </w:p>
        </w:tc>
        <w:tc>
          <w:tcPr>
            <w:tcW w:w="470" w:type="pct"/>
            <w:tcBorders>
              <w:left w:val="single" w:sz="8" w:space="0" w:color="7BA0CD" w:themeColor="accent1" w:themeTint="BF"/>
              <w:right w:val="single" w:sz="8" w:space="0" w:color="7BA0CD" w:themeColor="accent1" w:themeTint="BF"/>
            </w:tcBorders>
            <w:vAlign w:val="center"/>
          </w:tcPr>
          <w:p w14:paraId="1D3C0B3E" w14:textId="140B6ADC"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114.00</w:t>
            </w:r>
          </w:p>
        </w:tc>
        <w:tc>
          <w:tcPr>
            <w:tcW w:w="1983" w:type="pct"/>
            <w:tcBorders>
              <w:left w:val="single" w:sz="8" w:space="0" w:color="7BA0CD" w:themeColor="accent1" w:themeTint="BF"/>
              <w:right w:val="single" w:sz="8" w:space="0" w:color="7BA0CD" w:themeColor="accent1" w:themeTint="BF"/>
            </w:tcBorders>
            <w:vAlign w:val="center"/>
          </w:tcPr>
          <w:p w14:paraId="23880159" w14:textId="04A91892"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Forestry</w:t>
            </w:r>
          </w:p>
        </w:tc>
      </w:tr>
      <w:tr w:rsidR="000C43BF" w:rsidRPr="00A07E93" w14:paraId="0FCCBFC4"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D385693" w14:textId="139AC614" w:rsidR="000C43BF" w:rsidRPr="004F20A7" w:rsidRDefault="000C43BF" w:rsidP="000C43BF">
            <w:pPr>
              <w:pStyle w:val="Tablenormalleft"/>
              <w:keepNext w:val="0"/>
              <w:widowControl w:val="0"/>
              <w:jc w:val="left"/>
              <w:rPr>
                <w:rFonts w:eastAsiaTheme="minorHAnsi"/>
                <w:szCs w:val="18"/>
              </w:rPr>
            </w:pPr>
            <w:r w:rsidRPr="00BF73A9">
              <w:t>3.0599</w:t>
            </w:r>
          </w:p>
        </w:tc>
        <w:tc>
          <w:tcPr>
            <w:tcW w:w="2021" w:type="pct"/>
            <w:tcBorders>
              <w:left w:val="single" w:sz="8" w:space="0" w:color="7BA0CD" w:themeColor="accent1" w:themeTint="BF"/>
              <w:right w:val="single" w:sz="8" w:space="0" w:color="7BA0CD" w:themeColor="accent1" w:themeTint="BF"/>
            </w:tcBorders>
            <w:vAlign w:val="center"/>
          </w:tcPr>
          <w:p w14:paraId="755E4633" w14:textId="49708CF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Forestry, Other</w:t>
            </w:r>
          </w:p>
        </w:tc>
        <w:tc>
          <w:tcPr>
            <w:tcW w:w="470" w:type="pct"/>
            <w:tcBorders>
              <w:left w:val="single" w:sz="8" w:space="0" w:color="7BA0CD" w:themeColor="accent1" w:themeTint="BF"/>
              <w:right w:val="single" w:sz="8" w:space="0" w:color="7BA0CD" w:themeColor="accent1" w:themeTint="BF"/>
            </w:tcBorders>
            <w:vAlign w:val="center"/>
          </w:tcPr>
          <w:p w14:paraId="3CB81C05" w14:textId="029C992D"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114.00</w:t>
            </w:r>
          </w:p>
        </w:tc>
        <w:tc>
          <w:tcPr>
            <w:tcW w:w="1983" w:type="pct"/>
            <w:tcBorders>
              <w:left w:val="single" w:sz="8" w:space="0" w:color="7BA0CD" w:themeColor="accent1" w:themeTint="BF"/>
              <w:right w:val="single" w:sz="8" w:space="0" w:color="7BA0CD" w:themeColor="accent1" w:themeTint="BF"/>
            </w:tcBorders>
            <w:vAlign w:val="center"/>
          </w:tcPr>
          <w:p w14:paraId="7E17D1A4" w14:textId="26F6C6CB"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Forestry</w:t>
            </w:r>
          </w:p>
        </w:tc>
      </w:tr>
      <w:tr w:rsidR="000C43BF" w:rsidRPr="00A07E93" w14:paraId="7FB0DF4D"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CE58C75" w14:textId="27FC3F30" w:rsidR="000C43BF" w:rsidRPr="004F20A7" w:rsidRDefault="000C43BF" w:rsidP="000C43BF">
            <w:pPr>
              <w:pStyle w:val="Tablenormalleft"/>
              <w:keepNext w:val="0"/>
              <w:widowControl w:val="0"/>
              <w:jc w:val="left"/>
              <w:rPr>
                <w:rFonts w:eastAsiaTheme="minorHAnsi"/>
                <w:szCs w:val="18"/>
              </w:rPr>
            </w:pPr>
            <w:r w:rsidRPr="00BF73A9">
              <w:t>3.9999</w:t>
            </w:r>
          </w:p>
        </w:tc>
        <w:tc>
          <w:tcPr>
            <w:tcW w:w="2021" w:type="pct"/>
            <w:tcBorders>
              <w:left w:val="single" w:sz="8" w:space="0" w:color="7BA0CD" w:themeColor="accent1" w:themeTint="BF"/>
              <w:right w:val="single" w:sz="8" w:space="0" w:color="7BA0CD" w:themeColor="accent1" w:themeTint="BF"/>
            </w:tcBorders>
            <w:vAlign w:val="center"/>
          </w:tcPr>
          <w:p w14:paraId="4D4A3E91" w14:textId="13EB1434"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Forest Surveying Technology</w:t>
            </w:r>
          </w:p>
        </w:tc>
        <w:tc>
          <w:tcPr>
            <w:tcW w:w="470" w:type="pct"/>
            <w:tcBorders>
              <w:left w:val="single" w:sz="8" w:space="0" w:color="7BA0CD" w:themeColor="accent1" w:themeTint="BF"/>
              <w:right w:val="single" w:sz="8" w:space="0" w:color="7BA0CD" w:themeColor="accent1" w:themeTint="BF"/>
            </w:tcBorders>
            <w:vAlign w:val="center"/>
          </w:tcPr>
          <w:p w14:paraId="344F2741" w14:textId="627FB2EB"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399.00</w:t>
            </w:r>
          </w:p>
        </w:tc>
        <w:tc>
          <w:tcPr>
            <w:tcW w:w="1983" w:type="pct"/>
            <w:tcBorders>
              <w:left w:val="single" w:sz="8" w:space="0" w:color="7BA0CD" w:themeColor="accent1" w:themeTint="BF"/>
              <w:right w:val="single" w:sz="8" w:space="0" w:color="7BA0CD" w:themeColor="accent1" w:themeTint="BF"/>
            </w:tcBorders>
            <w:vAlign w:val="center"/>
          </w:tcPr>
          <w:p w14:paraId="5BA1B5A3" w14:textId="0E2FF992"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Environmental Sciences and Technologies, Other</w:t>
            </w:r>
          </w:p>
        </w:tc>
      </w:tr>
      <w:tr w:rsidR="000C43BF" w:rsidRPr="00A07E93" w14:paraId="37801105"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F737966" w14:textId="0847B15C" w:rsidR="000C43BF" w:rsidRPr="004F20A7" w:rsidRDefault="000C43BF" w:rsidP="000C43BF">
            <w:pPr>
              <w:pStyle w:val="Tablenormalleft"/>
              <w:keepNext w:val="0"/>
              <w:widowControl w:val="0"/>
              <w:jc w:val="left"/>
              <w:rPr>
                <w:rFonts w:eastAsiaTheme="minorHAnsi"/>
                <w:szCs w:val="18"/>
              </w:rPr>
            </w:pPr>
            <w:r w:rsidRPr="00BF73A9">
              <w:t>9.0101</w:t>
            </w:r>
          </w:p>
        </w:tc>
        <w:tc>
          <w:tcPr>
            <w:tcW w:w="2021" w:type="pct"/>
            <w:tcBorders>
              <w:left w:val="single" w:sz="8" w:space="0" w:color="7BA0CD" w:themeColor="accent1" w:themeTint="BF"/>
              <w:right w:val="single" w:sz="8" w:space="0" w:color="7BA0CD" w:themeColor="accent1" w:themeTint="BF"/>
            </w:tcBorders>
            <w:vAlign w:val="center"/>
          </w:tcPr>
          <w:p w14:paraId="4C05022A" w14:textId="194125B4"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Speech Communication and Rhetoric</w:t>
            </w:r>
          </w:p>
        </w:tc>
        <w:tc>
          <w:tcPr>
            <w:tcW w:w="470" w:type="pct"/>
            <w:tcBorders>
              <w:left w:val="single" w:sz="8" w:space="0" w:color="7BA0CD" w:themeColor="accent1" w:themeTint="BF"/>
              <w:right w:val="single" w:sz="8" w:space="0" w:color="7BA0CD" w:themeColor="accent1" w:themeTint="BF"/>
            </w:tcBorders>
            <w:vAlign w:val="center"/>
          </w:tcPr>
          <w:p w14:paraId="7730E35D" w14:textId="6D8405F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1506.00</w:t>
            </w:r>
          </w:p>
        </w:tc>
        <w:tc>
          <w:tcPr>
            <w:tcW w:w="1983" w:type="pct"/>
            <w:tcBorders>
              <w:left w:val="single" w:sz="8" w:space="0" w:color="7BA0CD" w:themeColor="accent1" w:themeTint="BF"/>
              <w:right w:val="single" w:sz="8" w:space="0" w:color="7BA0CD" w:themeColor="accent1" w:themeTint="BF"/>
            </w:tcBorders>
            <w:vAlign w:val="center"/>
          </w:tcPr>
          <w:p w14:paraId="298F6C62" w14:textId="4108AF9F"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Speech Communication</w:t>
            </w:r>
          </w:p>
        </w:tc>
      </w:tr>
      <w:tr w:rsidR="000C43BF" w:rsidRPr="00A07E93" w14:paraId="1B70161C"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719C1DC" w14:textId="61D68F93" w:rsidR="000C43BF" w:rsidRPr="004F20A7" w:rsidRDefault="000C43BF" w:rsidP="000C43BF">
            <w:pPr>
              <w:pStyle w:val="Tablenormalleft"/>
              <w:keepNext w:val="0"/>
              <w:widowControl w:val="0"/>
              <w:jc w:val="left"/>
              <w:rPr>
                <w:rFonts w:eastAsiaTheme="minorHAnsi"/>
                <w:szCs w:val="18"/>
              </w:rPr>
            </w:pPr>
            <w:r w:rsidRPr="00BF73A9">
              <w:t>10.0304</w:t>
            </w:r>
          </w:p>
        </w:tc>
        <w:tc>
          <w:tcPr>
            <w:tcW w:w="2021" w:type="pct"/>
            <w:tcBorders>
              <w:left w:val="single" w:sz="8" w:space="0" w:color="7BA0CD" w:themeColor="accent1" w:themeTint="BF"/>
              <w:right w:val="single" w:sz="8" w:space="0" w:color="7BA0CD" w:themeColor="accent1" w:themeTint="BF"/>
            </w:tcBorders>
            <w:vAlign w:val="center"/>
          </w:tcPr>
          <w:p w14:paraId="422EF4FB" w14:textId="64CD115A"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Animation, Interactive Technology, Video Graphics and Special Effects</w:t>
            </w:r>
          </w:p>
        </w:tc>
        <w:tc>
          <w:tcPr>
            <w:tcW w:w="470" w:type="pct"/>
            <w:tcBorders>
              <w:left w:val="single" w:sz="8" w:space="0" w:color="7BA0CD" w:themeColor="accent1" w:themeTint="BF"/>
              <w:right w:val="single" w:sz="8" w:space="0" w:color="7BA0CD" w:themeColor="accent1" w:themeTint="BF"/>
            </w:tcBorders>
            <w:vAlign w:val="center"/>
          </w:tcPr>
          <w:p w14:paraId="1E7915C8" w14:textId="7265AE6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614.10</w:t>
            </w:r>
          </w:p>
        </w:tc>
        <w:tc>
          <w:tcPr>
            <w:tcW w:w="1983" w:type="pct"/>
            <w:tcBorders>
              <w:left w:val="single" w:sz="8" w:space="0" w:color="7BA0CD" w:themeColor="accent1" w:themeTint="BF"/>
              <w:right w:val="single" w:sz="8" w:space="0" w:color="7BA0CD" w:themeColor="accent1" w:themeTint="BF"/>
            </w:tcBorders>
            <w:vAlign w:val="center"/>
          </w:tcPr>
          <w:p w14:paraId="26454FE8" w14:textId="69AD80E4"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Multimedia</w:t>
            </w:r>
          </w:p>
        </w:tc>
      </w:tr>
      <w:tr w:rsidR="000C43BF" w:rsidRPr="00A07E93" w14:paraId="0A8927A5"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60D0105" w14:textId="113C1D27" w:rsidR="000C43BF" w:rsidRPr="004F20A7" w:rsidRDefault="000C43BF" w:rsidP="000C43BF">
            <w:pPr>
              <w:pStyle w:val="Tablenormalleft"/>
              <w:keepNext w:val="0"/>
              <w:widowControl w:val="0"/>
              <w:jc w:val="left"/>
              <w:rPr>
                <w:rFonts w:eastAsiaTheme="minorHAnsi"/>
                <w:szCs w:val="18"/>
              </w:rPr>
            </w:pPr>
            <w:r w:rsidRPr="00BF73A9">
              <w:t>11.0101</w:t>
            </w:r>
          </w:p>
        </w:tc>
        <w:tc>
          <w:tcPr>
            <w:tcW w:w="2021" w:type="pct"/>
            <w:tcBorders>
              <w:left w:val="single" w:sz="8" w:space="0" w:color="7BA0CD" w:themeColor="accent1" w:themeTint="BF"/>
              <w:right w:val="single" w:sz="8" w:space="0" w:color="7BA0CD" w:themeColor="accent1" w:themeTint="BF"/>
            </w:tcBorders>
            <w:vAlign w:val="center"/>
          </w:tcPr>
          <w:p w14:paraId="2BECF648" w14:textId="183F16D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Computer and Information Sciences, General</w:t>
            </w:r>
          </w:p>
        </w:tc>
        <w:tc>
          <w:tcPr>
            <w:tcW w:w="470" w:type="pct"/>
            <w:tcBorders>
              <w:left w:val="single" w:sz="8" w:space="0" w:color="7BA0CD" w:themeColor="accent1" w:themeTint="BF"/>
              <w:right w:val="single" w:sz="8" w:space="0" w:color="7BA0CD" w:themeColor="accent1" w:themeTint="BF"/>
            </w:tcBorders>
            <w:vAlign w:val="center"/>
          </w:tcPr>
          <w:p w14:paraId="3CB0FD5A" w14:textId="0C9F7FD5"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701.00</w:t>
            </w:r>
          </w:p>
        </w:tc>
        <w:tc>
          <w:tcPr>
            <w:tcW w:w="1983" w:type="pct"/>
            <w:tcBorders>
              <w:left w:val="single" w:sz="8" w:space="0" w:color="7BA0CD" w:themeColor="accent1" w:themeTint="BF"/>
              <w:right w:val="single" w:sz="8" w:space="0" w:color="7BA0CD" w:themeColor="accent1" w:themeTint="BF"/>
            </w:tcBorders>
            <w:vAlign w:val="center"/>
          </w:tcPr>
          <w:p w14:paraId="6CF42D53" w14:textId="0419E8A4"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Information Technology, General</w:t>
            </w:r>
          </w:p>
        </w:tc>
      </w:tr>
      <w:tr w:rsidR="000C43BF" w:rsidRPr="00A07E93" w14:paraId="2D45F6E1"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AC29AAA" w14:textId="3D6D97A2" w:rsidR="000C43BF" w:rsidRPr="004F20A7" w:rsidRDefault="000C43BF" w:rsidP="000C43BF">
            <w:pPr>
              <w:pStyle w:val="Tablenormalleft"/>
              <w:keepNext w:val="0"/>
              <w:widowControl w:val="0"/>
              <w:jc w:val="left"/>
              <w:rPr>
                <w:rFonts w:eastAsiaTheme="minorHAnsi"/>
                <w:szCs w:val="18"/>
              </w:rPr>
            </w:pPr>
            <w:r w:rsidRPr="00BF73A9">
              <w:t>11.0103</w:t>
            </w:r>
          </w:p>
        </w:tc>
        <w:tc>
          <w:tcPr>
            <w:tcW w:w="2021" w:type="pct"/>
            <w:tcBorders>
              <w:left w:val="single" w:sz="8" w:space="0" w:color="7BA0CD" w:themeColor="accent1" w:themeTint="BF"/>
              <w:right w:val="single" w:sz="8" w:space="0" w:color="7BA0CD" w:themeColor="accent1" w:themeTint="BF"/>
            </w:tcBorders>
            <w:vAlign w:val="center"/>
          </w:tcPr>
          <w:p w14:paraId="26B44EAA" w14:textId="2A7EDD6D"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Information Technology</w:t>
            </w:r>
          </w:p>
        </w:tc>
        <w:tc>
          <w:tcPr>
            <w:tcW w:w="470" w:type="pct"/>
            <w:tcBorders>
              <w:left w:val="single" w:sz="8" w:space="0" w:color="7BA0CD" w:themeColor="accent1" w:themeTint="BF"/>
              <w:right w:val="single" w:sz="8" w:space="0" w:color="7BA0CD" w:themeColor="accent1" w:themeTint="BF"/>
            </w:tcBorders>
            <w:vAlign w:val="center"/>
          </w:tcPr>
          <w:p w14:paraId="6E3AA09A" w14:textId="7097BFB2"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702.00</w:t>
            </w:r>
          </w:p>
        </w:tc>
        <w:tc>
          <w:tcPr>
            <w:tcW w:w="1983" w:type="pct"/>
            <w:tcBorders>
              <w:left w:val="single" w:sz="8" w:space="0" w:color="7BA0CD" w:themeColor="accent1" w:themeTint="BF"/>
              <w:right w:val="single" w:sz="8" w:space="0" w:color="7BA0CD" w:themeColor="accent1" w:themeTint="BF"/>
            </w:tcBorders>
            <w:vAlign w:val="center"/>
          </w:tcPr>
          <w:p w14:paraId="5A3033C6" w14:textId="49FD23C7"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Computer Information Systems</w:t>
            </w:r>
          </w:p>
        </w:tc>
      </w:tr>
      <w:tr w:rsidR="000C43BF" w:rsidRPr="00A07E93" w14:paraId="050EC93B"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01CD5A6" w14:textId="44E51E40" w:rsidR="000C43BF" w:rsidRPr="004F20A7" w:rsidRDefault="000C43BF" w:rsidP="000C43BF">
            <w:pPr>
              <w:pStyle w:val="Tablenormalleft"/>
              <w:keepNext w:val="0"/>
              <w:widowControl w:val="0"/>
              <w:jc w:val="left"/>
              <w:rPr>
                <w:rFonts w:eastAsiaTheme="minorHAnsi"/>
                <w:szCs w:val="18"/>
              </w:rPr>
            </w:pPr>
            <w:r w:rsidRPr="00BF73A9">
              <w:t>11.0701</w:t>
            </w:r>
          </w:p>
        </w:tc>
        <w:tc>
          <w:tcPr>
            <w:tcW w:w="2021" w:type="pct"/>
            <w:tcBorders>
              <w:left w:val="single" w:sz="8" w:space="0" w:color="7BA0CD" w:themeColor="accent1" w:themeTint="BF"/>
              <w:right w:val="single" w:sz="8" w:space="0" w:color="7BA0CD" w:themeColor="accent1" w:themeTint="BF"/>
            </w:tcBorders>
            <w:vAlign w:val="center"/>
          </w:tcPr>
          <w:p w14:paraId="1D3D3F30" w14:textId="30571650"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Computer Science</w:t>
            </w:r>
          </w:p>
        </w:tc>
        <w:tc>
          <w:tcPr>
            <w:tcW w:w="470" w:type="pct"/>
            <w:tcBorders>
              <w:left w:val="single" w:sz="8" w:space="0" w:color="7BA0CD" w:themeColor="accent1" w:themeTint="BF"/>
              <w:right w:val="single" w:sz="8" w:space="0" w:color="7BA0CD" w:themeColor="accent1" w:themeTint="BF"/>
            </w:tcBorders>
            <w:vAlign w:val="center"/>
          </w:tcPr>
          <w:p w14:paraId="51ADCDE8" w14:textId="672D7B7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706.00</w:t>
            </w:r>
          </w:p>
        </w:tc>
        <w:tc>
          <w:tcPr>
            <w:tcW w:w="1983" w:type="pct"/>
            <w:tcBorders>
              <w:left w:val="single" w:sz="8" w:space="0" w:color="7BA0CD" w:themeColor="accent1" w:themeTint="BF"/>
              <w:right w:val="single" w:sz="8" w:space="0" w:color="7BA0CD" w:themeColor="accent1" w:themeTint="BF"/>
            </w:tcBorders>
            <w:vAlign w:val="center"/>
          </w:tcPr>
          <w:p w14:paraId="13C12356" w14:textId="5B1333FB"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Computer Science (transfer)</w:t>
            </w:r>
          </w:p>
        </w:tc>
      </w:tr>
      <w:tr w:rsidR="000C43BF" w:rsidRPr="00A07E93" w14:paraId="20BACBBC"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234A9A54" w14:textId="69E5098F" w:rsidR="000C43BF" w:rsidRPr="004F20A7" w:rsidRDefault="000C43BF" w:rsidP="000C43BF">
            <w:pPr>
              <w:pStyle w:val="Tablenormalleft"/>
              <w:keepNext w:val="0"/>
              <w:widowControl w:val="0"/>
              <w:jc w:val="left"/>
              <w:rPr>
                <w:rFonts w:eastAsiaTheme="minorHAnsi"/>
                <w:szCs w:val="18"/>
              </w:rPr>
            </w:pPr>
            <w:r w:rsidRPr="00BF73A9">
              <w:t>11.0801</w:t>
            </w:r>
          </w:p>
        </w:tc>
        <w:tc>
          <w:tcPr>
            <w:tcW w:w="2021" w:type="pct"/>
            <w:tcBorders>
              <w:left w:val="single" w:sz="8" w:space="0" w:color="7BA0CD" w:themeColor="accent1" w:themeTint="BF"/>
              <w:right w:val="single" w:sz="8" w:space="0" w:color="7BA0CD" w:themeColor="accent1" w:themeTint="BF"/>
            </w:tcBorders>
            <w:vAlign w:val="center"/>
          </w:tcPr>
          <w:p w14:paraId="000F3D58" w14:textId="783D129C"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 xml:space="preserve">Web Page, Digital/Multimedia and Information </w:t>
            </w:r>
            <w:r w:rsidR="006C38C7" w:rsidRPr="007B4E83">
              <w:t>Resou</w:t>
            </w:r>
            <w:r w:rsidR="006C38C7">
              <w:t>rce</w:t>
            </w:r>
            <w:r w:rsidR="006C38C7" w:rsidRPr="007B4E83">
              <w:t>s</w:t>
            </w:r>
            <w:r w:rsidRPr="007B4E83">
              <w:t xml:space="preserve"> Design</w:t>
            </w:r>
          </w:p>
        </w:tc>
        <w:tc>
          <w:tcPr>
            <w:tcW w:w="470" w:type="pct"/>
            <w:tcBorders>
              <w:left w:val="single" w:sz="8" w:space="0" w:color="7BA0CD" w:themeColor="accent1" w:themeTint="BF"/>
              <w:right w:val="single" w:sz="8" w:space="0" w:color="7BA0CD" w:themeColor="accent1" w:themeTint="BF"/>
            </w:tcBorders>
            <w:vAlign w:val="center"/>
          </w:tcPr>
          <w:p w14:paraId="63B10E9E" w14:textId="39B7F075"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614.30</w:t>
            </w:r>
          </w:p>
        </w:tc>
        <w:tc>
          <w:tcPr>
            <w:tcW w:w="1983" w:type="pct"/>
            <w:tcBorders>
              <w:left w:val="single" w:sz="8" w:space="0" w:color="7BA0CD" w:themeColor="accent1" w:themeTint="BF"/>
              <w:right w:val="single" w:sz="8" w:space="0" w:color="7BA0CD" w:themeColor="accent1" w:themeTint="BF"/>
            </w:tcBorders>
            <w:vAlign w:val="center"/>
          </w:tcPr>
          <w:p w14:paraId="1A8A9F57" w14:textId="26EBD8E4"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Website Design and Development</w:t>
            </w:r>
          </w:p>
        </w:tc>
      </w:tr>
      <w:tr w:rsidR="000C43BF" w:rsidRPr="00A07E93" w14:paraId="0D18DF61"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926C104" w14:textId="0187E8B6" w:rsidR="000C43BF" w:rsidRPr="004F20A7" w:rsidRDefault="000C43BF" w:rsidP="000C43BF">
            <w:pPr>
              <w:pStyle w:val="Tablenormalleft"/>
              <w:keepNext w:val="0"/>
              <w:widowControl w:val="0"/>
              <w:jc w:val="left"/>
              <w:rPr>
                <w:rFonts w:eastAsiaTheme="minorHAnsi"/>
                <w:szCs w:val="18"/>
              </w:rPr>
            </w:pPr>
            <w:r w:rsidRPr="00BF73A9">
              <w:t>11.0803</w:t>
            </w:r>
          </w:p>
        </w:tc>
        <w:tc>
          <w:tcPr>
            <w:tcW w:w="2021" w:type="pct"/>
            <w:tcBorders>
              <w:left w:val="single" w:sz="8" w:space="0" w:color="7BA0CD" w:themeColor="accent1" w:themeTint="BF"/>
              <w:right w:val="single" w:sz="8" w:space="0" w:color="7BA0CD" w:themeColor="accent1" w:themeTint="BF"/>
            </w:tcBorders>
            <w:vAlign w:val="center"/>
          </w:tcPr>
          <w:p w14:paraId="1EC78881" w14:textId="003E0CB5"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Computer Graphics</w:t>
            </w:r>
          </w:p>
        </w:tc>
        <w:tc>
          <w:tcPr>
            <w:tcW w:w="470" w:type="pct"/>
            <w:tcBorders>
              <w:left w:val="single" w:sz="8" w:space="0" w:color="7BA0CD" w:themeColor="accent1" w:themeTint="BF"/>
              <w:right w:val="single" w:sz="8" w:space="0" w:color="7BA0CD" w:themeColor="accent1" w:themeTint="BF"/>
            </w:tcBorders>
            <w:vAlign w:val="center"/>
          </w:tcPr>
          <w:p w14:paraId="67CC6C5E" w14:textId="481644B8"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614.60</w:t>
            </w:r>
          </w:p>
        </w:tc>
        <w:tc>
          <w:tcPr>
            <w:tcW w:w="1983" w:type="pct"/>
            <w:tcBorders>
              <w:left w:val="single" w:sz="8" w:space="0" w:color="7BA0CD" w:themeColor="accent1" w:themeTint="BF"/>
              <w:right w:val="single" w:sz="8" w:space="0" w:color="7BA0CD" w:themeColor="accent1" w:themeTint="BF"/>
            </w:tcBorders>
            <w:vAlign w:val="center"/>
          </w:tcPr>
          <w:p w14:paraId="28663222" w14:textId="4067F5E8"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Computer Graphics and Digital Imagery</w:t>
            </w:r>
          </w:p>
        </w:tc>
      </w:tr>
      <w:tr w:rsidR="000C43BF" w:rsidRPr="00A07E93" w14:paraId="3283BF32"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0E3E5273" w14:textId="0BE0DBC5" w:rsidR="000C43BF" w:rsidRPr="004F20A7" w:rsidRDefault="000C43BF" w:rsidP="000C43BF">
            <w:pPr>
              <w:pStyle w:val="Tablenormalleft"/>
              <w:keepNext w:val="0"/>
              <w:widowControl w:val="0"/>
              <w:jc w:val="left"/>
              <w:rPr>
                <w:rFonts w:eastAsiaTheme="minorHAnsi"/>
                <w:szCs w:val="18"/>
              </w:rPr>
            </w:pPr>
            <w:r w:rsidRPr="00BF73A9">
              <w:t>11.0901</w:t>
            </w:r>
          </w:p>
        </w:tc>
        <w:tc>
          <w:tcPr>
            <w:tcW w:w="2021" w:type="pct"/>
            <w:tcBorders>
              <w:left w:val="single" w:sz="8" w:space="0" w:color="7BA0CD" w:themeColor="accent1" w:themeTint="BF"/>
              <w:right w:val="single" w:sz="8" w:space="0" w:color="7BA0CD" w:themeColor="accent1" w:themeTint="BF"/>
            </w:tcBorders>
            <w:vAlign w:val="center"/>
          </w:tcPr>
          <w:p w14:paraId="07EDC0D3" w14:textId="5333D5F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Computer Systems Networking and Telecommunications</w:t>
            </w:r>
          </w:p>
        </w:tc>
        <w:tc>
          <w:tcPr>
            <w:tcW w:w="470" w:type="pct"/>
            <w:tcBorders>
              <w:left w:val="single" w:sz="8" w:space="0" w:color="7BA0CD" w:themeColor="accent1" w:themeTint="BF"/>
              <w:right w:val="single" w:sz="8" w:space="0" w:color="7BA0CD" w:themeColor="accent1" w:themeTint="BF"/>
            </w:tcBorders>
            <w:vAlign w:val="center"/>
          </w:tcPr>
          <w:p w14:paraId="470B1739" w14:textId="2AD6487A"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708.10</w:t>
            </w:r>
          </w:p>
        </w:tc>
        <w:tc>
          <w:tcPr>
            <w:tcW w:w="1983" w:type="pct"/>
            <w:tcBorders>
              <w:left w:val="single" w:sz="8" w:space="0" w:color="7BA0CD" w:themeColor="accent1" w:themeTint="BF"/>
              <w:right w:val="single" w:sz="8" w:space="0" w:color="7BA0CD" w:themeColor="accent1" w:themeTint="BF"/>
            </w:tcBorders>
            <w:vAlign w:val="center"/>
          </w:tcPr>
          <w:p w14:paraId="0F86C4DF" w14:textId="1EE3BA74"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Computer Networking</w:t>
            </w:r>
          </w:p>
        </w:tc>
      </w:tr>
      <w:tr w:rsidR="000C43BF" w:rsidRPr="00A07E93" w14:paraId="519B874D"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034AA7FA" w14:textId="7B7758BD" w:rsidR="000C43BF" w:rsidRPr="004F20A7" w:rsidRDefault="000C43BF" w:rsidP="000C43BF">
            <w:pPr>
              <w:pStyle w:val="Tablenormalleft"/>
              <w:keepNext w:val="0"/>
              <w:widowControl w:val="0"/>
              <w:jc w:val="left"/>
              <w:rPr>
                <w:rFonts w:eastAsiaTheme="minorHAnsi"/>
                <w:szCs w:val="18"/>
              </w:rPr>
            </w:pPr>
            <w:r w:rsidRPr="00BF73A9">
              <w:t>11.1003</w:t>
            </w:r>
          </w:p>
        </w:tc>
        <w:tc>
          <w:tcPr>
            <w:tcW w:w="2021" w:type="pct"/>
            <w:tcBorders>
              <w:left w:val="single" w:sz="8" w:space="0" w:color="7BA0CD" w:themeColor="accent1" w:themeTint="BF"/>
              <w:right w:val="single" w:sz="8" w:space="0" w:color="7BA0CD" w:themeColor="accent1" w:themeTint="BF"/>
            </w:tcBorders>
            <w:vAlign w:val="center"/>
          </w:tcPr>
          <w:p w14:paraId="621AC7E2" w14:textId="70A07E5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Computer and Information Systems Security/Information Assurance</w:t>
            </w:r>
          </w:p>
        </w:tc>
        <w:tc>
          <w:tcPr>
            <w:tcW w:w="470" w:type="pct"/>
            <w:tcBorders>
              <w:left w:val="single" w:sz="8" w:space="0" w:color="7BA0CD" w:themeColor="accent1" w:themeTint="BF"/>
              <w:right w:val="single" w:sz="8" w:space="0" w:color="7BA0CD" w:themeColor="accent1" w:themeTint="BF"/>
            </w:tcBorders>
            <w:vAlign w:val="center"/>
          </w:tcPr>
          <w:p w14:paraId="38730D6F" w14:textId="1412A147"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708.00</w:t>
            </w:r>
          </w:p>
        </w:tc>
        <w:tc>
          <w:tcPr>
            <w:tcW w:w="1983" w:type="pct"/>
            <w:tcBorders>
              <w:left w:val="single" w:sz="8" w:space="0" w:color="7BA0CD" w:themeColor="accent1" w:themeTint="BF"/>
              <w:right w:val="single" w:sz="8" w:space="0" w:color="7BA0CD" w:themeColor="accent1" w:themeTint="BF"/>
            </w:tcBorders>
            <w:vAlign w:val="center"/>
          </w:tcPr>
          <w:p w14:paraId="30D72E1F" w14:textId="0FE73F7A"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Computer Infrastructure and Support</w:t>
            </w:r>
          </w:p>
        </w:tc>
      </w:tr>
      <w:tr w:rsidR="000C43BF" w:rsidRPr="00A07E93" w14:paraId="27800965"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56A273C2" w14:textId="4E0C08D9" w:rsidR="000C43BF" w:rsidRPr="004F20A7" w:rsidRDefault="000C43BF" w:rsidP="000C43BF">
            <w:pPr>
              <w:pStyle w:val="Tablenormalleft"/>
              <w:keepNext w:val="0"/>
              <w:widowControl w:val="0"/>
              <w:jc w:val="left"/>
              <w:rPr>
                <w:rFonts w:eastAsiaTheme="minorHAnsi"/>
                <w:szCs w:val="18"/>
              </w:rPr>
            </w:pPr>
            <w:r w:rsidRPr="00BF73A9">
              <w:t>11.1004</w:t>
            </w:r>
          </w:p>
        </w:tc>
        <w:tc>
          <w:tcPr>
            <w:tcW w:w="2021" w:type="pct"/>
            <w:tcBorders>
              <w:left w:val="single" w:sz="8" w:space="0" w:color="7BA0CD" w:themeColor="accent1" w:themeTint="BF"/>
              <w:right w:val="single" w:sz="8" w:space="0" w:color="7BA0CD" w:themeColor="accent1" w:themeTint="BF"/>
            </w:tcBorders>
            <w:vAlign w:val="center"/>
          </w:tcPr>
          <w:p w14:paraId="313FAAB3" w14:textId="629AE458"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Web/Multimedia Management and Webmaster</w:t>
            </w:r>
          </w:p>
        </w:tc>
        <w:tc>
          <w:tcPr>
            <w:tcW w:w="470" w:type="pct"/>
            <w:tcBorders>
              <w:left w:val="single" w:sz="8" w:space="0" w:color="7BA0CD" w:themeColor="accent1" w:themeTint="BF"/>
              <w:right w:val="single" w:sz="8" w:space="0" w:color="7BA0CD" w:themeColor="accent1" w:themeTint="BF"/>
            </w:tcBorders>
            <w:vAlign w:val="center"/>
          </w:tcPr>
          <w:p w14:paraId="72846AF8" w14:textId="4800EFEA"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709.00</w:t>
            </w:r>
          </w:p>
        </w:tc>
        <w:tc>
          <w:tcPr>
            <w:tcW w:w="1983" w:type="pct"/>
            <w:tcBorders>
              <w:left w:val="single" w:sz="8" w:space="0" w:color="7BA0CD" w:themeColor="accent1" w:themeTint="BF"/>
              <w:right w:val="single" w:sz="8" w:space="0" w:color="7BA0CD" w:themeColor="accent1" w:themeTint="BF"/>
            </w:tcBorders>
            <w:vAlign w:val="center"/>
          </w:tcPr>
          <w:p w14:paraId="5D08930B" w14:textId="25659E24"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World Wide Web Administration</w:t>
            </w:r>
          </w:p>
        </w:tc>
      </w:tr>
      <w:tr w:rsidR="000C43BF" w:rsidRPr="00A07E93" w14:paraId="6522958E"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5F533E4" w14:textId="57F2E607" w:rsidR="000C43BF" w:rsidRPr="004F20A7" w:rsidRDefault="000C43BF" w:rsidP="000C43BF">
            <w:pPr>
              <w:pStyle w:val="Tablenormalleft"/>
              <w:keepNext w:val="0"/>
              <w:widowControl w:val="0"/>
              <w:jc w:val="left"/>
              <w:rPr>
                <w:rFonts w:eastAsiaTheme="minorHAnsi"/>
                <w:szCs w:val="18"/>
              </w:rPr>
            </w:pPr>
            <w:r w:rsidRPr="00BF73A9">
              <w:t>11.1006</w:t>
            </w:r>
          </w:p>
        </w:tc>
        <w:tc>
          <w:tcPr>
            <w:tcW w:w="2021" w:type="pct"/>
            <w:tcBorders>
              <w:left w:val="single" w:sz="8" w:space="0" w:color="7BA0CD" w:themeColor="accent1" w:themeTint="BF"/>
              <w:right w:val="single" w:sz="8" w:space="0" w:color="7BA0CD" w:themeColor="accent1" w:themeTint="BF"/>
            </w:tcBorders>
            <w:vAlign w:val="center"/>
          </w:tcPr>
          <w:p w14:paraId="5AD4A79D" w14:textId="32C2C18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Computer Support Specialist</w:t>
            </w:r>
          </w:p>
        </w:tc>
        <w:tc>
          <w:tcPr>
            <w:tcW w:w="470" w:type="pct"/>
            <w:tcBorders>
              <w:left w:val="single" w:sz="8" w:space="0" w:color="7BA0CD" w:themeColor="accent1" w:themeTint="BF"/>
              <w:right w:val="single" w:sz="8" w:space="0" w:color="7BA0CD" w:themeColor="accent1" w:themeTint="BF"/>
            </w:tcBorders>
            <w:vAlign w:val="center"/>
          </w:tcPr>
          <w:p w14:paraId="2B2F208E" w14:textId="66464D2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708.20</w:t>
            </w:r>
          </w:p>
        </w:tc>
        <w:tc>
          <w:tcPr>
            <w:tcW w:w="1983" w:type="pct"/>
            <w:tcBorders>
              <w:left w:val="single" w:sz="8" w:space="0" w:color="7BA0CD" w:themeColor="accent1" w:themeTint="BF"/>
              <w:right w:val="single" w:sz="8" w:space="0" w:color="7BA0CD" w:themeColor="accent1" w:themeTint="BF"/>
            </w:tcBorders>
            <w:vAlign w:val="center"/>
          </w:tcPr>
          <w:p w14:paraId="4A00BE5A" w14:textId="5E0480C2"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Computer Support</w:t>
            </w:r>
          </w:p>
        </w:tc>
      </w:tr>
      <w:tr w:rsidR="000C43BF" w:rsidRPr="00A07E93" w14:paraId="77B7936E"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AD05BBF" w14:textId="7A214D29" w:rsidR="000C43BF" w:rsidRPr="004F20A7" w:rsidRDefault="000C43BF" w:rsidP="000C43BF">
            <w:pPr>
              <w:pStyle w:val="Tablenormalleft"/>
              <w:keepNext w:val="0"/>
              <w:widowControl w:val="0"/>
              <w:jc w:val="left"/>
              <w:rPr>
                <w:rFonts w:eastAsiaTheme="minorHAnsi"/>
                <w:szCs w:val="18"/>
              </w:rPr>
            </w:pPr>
            <w:r w:rsidRPr="00BF73A9">
              <w:t>13.1015</w:t>
            </w:r>
          </w:p>
        </w:tc>
        <w:tc>
          <w:tcPr>
            <w:tcW w:w="2021" w:type="pct"/>
            <w:tcBorders>
              <w:left w:val="single" w:sz="8" w:space="0" w:color="7BA0CD" w:themeColor="accent1" w:themeTint="BF"/>
              <w:right w:val="single" w:sz="8" w:space="0" w:color="7BA0CD" w:themeColor="accent1" w:themeTint="BF"/>
            </w:tcBorders>
            <w:vAlign w:val="center"/>
          </w:tcPr>
          <w:p w14:paraId="265CB58F" w14:textId="264915E1"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Education/Teaching of Individuals in Early Childhood Special Education Programs</w:t>
            </w:r>
          </w:p>
        </w:tc>
        <w:tc>
          <w:tcPr>
            <w:tcW w:w="470" w:type="pct"/>
            <w:tcBorders>
              <w:left w:val="single" w:sz="8" w:space="0" w:color="7BA0CD" w:themeColor="accent1" w:themeTint="BF"/>
              <w:right w:val="single" w:sz="8" w:space="0" w:color="7BA0CD" w:themeColor="accent1" w:themeTint="BF"/>
            </w:tcBorders>
            <w:vAlign w:val="center"/>
          </w:tcPr>
          <w:p w14:paraId="4DADFC80" w14:textId="5AE1FD5E"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1305.20</w:t>
            </w:r>
          </w:p>
        </w:tc>
        <w:tc>
          <w:tcPr>
            <w:tcW w:w="1983" w:type="pct"/>
            <w:tcBorders>
              <w:left w:val="single" w:sz="8" w:space="0" w:color="7BA0CD" w:themeColor="accent1" w:themeTint="BF"/>
              <w:right w:val="single" w:sz="8" w:space="0" w:color="7BA0CD" w:themeColor="accent1" w:themeTint="BF"/>
            </w:tcBorders>
            <w:vAlign w:val="center"/>
          </w:tcPr>
          <w:p w14:paraId="26BC9444" w14:textId="69CAF24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Children with Special Needs</w:t>
            </w:r>
          </w:p>
        </w:tc>
      </w:tr>
      <w:tr w:rsidR="000C43BF" w:rsidRPr="00A07E93" w14:paraId="4E028A26"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589FCA83" w14:textId="32DDF526" w:rsidR="000C43BF" w:rsidRPr="004F20A7" w:rsidRDefault="000C43BF" w:rsidP="000C43BF">
            <w:pPr>
              <w:pStyle w:val="Tablenormalleft"/>
              <w:keepNext w:val="0"/>
              <w:widowControl w:val="0"/>
              <w:jc w:val="left"/>
              <w:rPr>
                <w:rFonts w:eastAsiaTheme="minorHAnsi"/>
                <w:szCs w:val="18"/>
              </w:rPr>
            </w:pPr>
            <w:r w:rsidRPr="00BF73A9">
              <w:t>13.121</w:t>
            </w:r>
          </w:p>
        </w:tc>
        <w:tc>
          <w:tcPr>
            <w:tcW w:w="2021" w:type="pct"/>
            <w:tcBorders>
              <w:left w:val="single" w:sz="8" w:space="0" w:color="7BA0CD" w:themeColor="accent1" w:themeTint="BF"/>
              <w:right w:val="single" w:sz="8" w:space="0" w:color="7BA0CD" w:themeColor="accent1" w:themeTint="BF"/>
            </w:tcBorders>
            <w:vAlign w:val="center"/>
          </w:tcPr>
          <w:p w14:paraId="0528DE7B" w14:textId="11D83C10"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Early Childhood Education and Teaching</w:t>
            </w:r>
          </w:p>
        </w:tc>
        <w:tc>
          <w:tcPr>
            <w:tcW w:w="470" w:type="pct"/>
            <w:tcBorders>
              <w:left w:val="single" w:sz="8" w:space="0" w:color="7BA0CD" w:themeColor="accent1" w:themeTint="BF"/>
              <w:right w:val="single" w:sz="8" w:space="0" w:color="7BA0CD" w:themeColor="accent1" w:themeTint="BF"/>
            </w:tcBorders>
            <w:vAlign w:val="center"/>
          </w:tcPr>
          <w:p w14:paraId="0BEBD4D3" w14:textId="72FE4291"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1305.00</w:t>
            </w:r>
          </w:p>
        </w:tc>
        <w:tc>
          <w:tcPr>
            <w:tcW w:w="1983" w:type="pct"/>
            <w:tcBorders>
              <w:left w:val="single" w:sz="8" w:space="0" w:color="7BA0CD" w:themeColor="accent1" w:themeTint="BF"/>
              <w:right w:val="single" w:sz="8" w:space="0" w:color="7BA0CD" w:themeColor="accent1" w:themeTint="BF"/>
            </w:tcBorders>
            <w:vAlign w:val="center"/>
          </w:tcPr>
          <w:p w14:paraId="715068B5" w14:textId="5B20405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Child Development/Early Care and Education</w:t>
            </w:r>
          </w:p>
        </w:tc>
      </w:tr>
      <w:tr w:rsidR="000C43BF" w:rsidRPr="00A07E93" w14:paraId="3AF6770C"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527ABE5A" w14:textId="4640BA70" w:rsidR="000C43BF" w:rsidRPr="004F20A7" w:rsidRDefault="000C43BF" w:rsidP="000C43BF">
            <w:pPr>
              <w:pStyle w:val="Tablenormalleft"/>
              <w:keepNext w:val="0"/>
              <w:widowControl w:val="0"/>
              <w:jc w:val="left"/>
              <w:rPr>
                <w:rFonts w:eastAsiaTheme="minorHAnsi"/>
                <w:szCs w:val="18"/>
              </w:rPr>
            </w:pPr>
            <w:r w:rsidRPr="00BF73A9">
              <w:t>13.1314</w:t>
            </w:r>
          </w:p>
        </w:tc>
        <w:tc>
          <w:tcPr>
            <w:tcW w:w="2021" w:type="pct"/>
            <w:tcBorders>
              <w:left w:val="single" w:sz="8" w:space="0" w:color="7BA0CD" w:themeColor="accent1" w:themeTint="BF"/>
              <w:right w:val="single" w:sz="8" w:space="0" w:color="7BA0CD" w:themeColor="accent1" w:themeTint="BF"/>
            </w:tcBorders>
            <w:vAlign w:val="center"/>
          </w:tcPr>
          <w:p w14:paraId="49E567C6" w14:textId="1AFDBB4C"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Physical Education Teaching and Coaching</w:t>
            </w:r>
          </w:p>
        </w:tc>
        <w:tc>
          <w:tcPr>
            <w:tcW w:w="470" w:type="pct"/>
            <w:tcBorders>
              <w:left w:val="single" w:sz="8" w:space="0" w:color="7BA0CD" w:themeColor="accent1" w:themeTint="BF"/>
              <w:right w:val="single" w:sz="8" w:space="0" w:color="7BA0CD" w:themeColor="accent1" w:themeTint="BF"/>
            </w:tcBorders>
            <w:vAlign w:val="center"/>
          </w:tcPr>
          <w:p w14:paraId="00CAF20C" w14:textId="0E30384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835.00</w:t>
            </w:r>
          </w:p>
        </w:tc>
        <w:tc>
          <w:tcPr>
            <w:tcW w:w="1983" w:type="pct"/>
            <w:tcBorders>
              <w:left w:val="single" w:sz="8" w:space="0" w:color="7BA0CD" w:themeColor="accent1" w:themeTint="BF"/>
              <w:right w:val="single" w:sz="8" w:space="0" w:color="7BA0CD" w:themeColor="accent1" w:themeTint="BF"/>
            </w:tcBorders>
            <w:vAlign w:val="center"/>
          </w:tcPr>
          <w:p w14:paraId="04B4650B" w14:textId="7A743434"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Physical Education</w:t>
            </w:r>
          </w:p>
        </w:tc>
      </w:tr>
      <w:tr w:rsidR="000C43BF" w:rsidRPr="00A07E93" w14:paraId="6DCDAEC4"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C41E52C" w14:textId="1442C323" w:rsidR="000C43BF" w:rsidRPr="004F20A7" w:rsidRDefault="000C43BF" w:rsidP="000C43BF">
            <w:pPr>
              <w:pStyle w:val="Tablenormalleft"/>
              <w:keepNext w:val="0"/>
              <w:widowControl w:val="0"/>
              <w:jc w:val="left"/>
              <w:rPr>
                <w:rFonts w:eastAsiaTheme="minorHAnsi"/>
                <w:szCs w:val="18"/>
              </w:rPr>
            </w:pPr>
            <w:r w:rsidRPr="00BF73A9">
              <w:t>15.0506</w:t>
            </w:r>
          </w:p>
        </w:tc>
        <w:tc>
          <w:tcPr>
            <w:tcW w:w="2021" w:type="pct"/>
            <w:tcBorders>
              <w:left w:val="single" w:sz="8" w:space="0" w:color="7BA0CD" w:themeColor="accent1" w:themeTint="BF"/>
              <w:right w:val="single" w:sz="8" w:space="0" w:color="7BA0CD" w:themeColor="accent1" w:themeTint="BF"/>
            </w:tcBorders>
            <w:vAlign w:val="center"/>
          </w:tcPr>
          <w:p w14:paraId="27018C59" w14:textId="0EA6D57F"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Water Quality and Wastewater Treatment Management and Recycling Technology/Technician</w:t>
            </w:r>
          </w:p>
        </w:tc>
        <w:tc>
          <w:tcPr>
            <w:tcW w:w="470" w:type="pct"/>
            <w:tcBorders>
              <w:left w:val="single" w:sz="8" w:space="0" w:color="7BA0CD" w:themeColor="accent1" w:themeTint="BF"/>
              <w:right w:val="single" w:sz="8" w:space="0" w:color="7BA0CD" w:themeColor="accent1" w:themeTint="BF"/>
            </w:tcBorders>
            <w:vAlign w:val="center"/>
          </w:tcPr>
          <w:p w14:paraId="0171F120" w14:textId="3FFCE48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958.00</w:t>
            </w:r>
          </w:p>
        </w:tc>
        <w:tc>
          <w:tcPr>
            <w:tcW w:w="1983" w:type="pct"/>
            <w:tcBorders>
              <w:left w:val="single" w:sz="8" w:space="0" w:color="7BA0CD" w:themeColor="accent1" w:themeTint="BF"/>
              <w:right w:val="single" w:sz="8" w:space="0" w:color="7BA0CD" w:themeColor="accent1" w:themeTint="BF"/>
            </w:tcBorders>
            <w:vAlign w:val="center"/>
          </w:tcPr>
          <w:p w14:paraId="0B3C1459" w14:textId="651233B9"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Water and Wastewater Technology</w:t>
            </w:r>
          </w:p>
        </w:tc>
      </w:tr>
      <w:tr w:rsidR="000C43BF" w:rsidRPr="00A07E93" w14:paraId="0C3CAB11"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06B687D9" w14:textId="4DFA9F87" w:rsidR="000C43BF" w:rsidRPr="004F20A7" w:rsidRDefault="000C43BF" w:rsidP="000C43BF">
            <w:pPr>
              <w:pStyle w:val="Tablenormalleft"/>
              <w:keepNext w:val="0"/>
              <w:widowControl w:val="0"/>
              <w:jc w:val="left"/>
              <w:rPr>
                <w:rFonts w:eastAsiaTheme="minorHAnsi"/>
                <w:szCs w:val="18"/>
              </w:rPr>
            </w:pPr>
            <w:r w:rsidRPr="00BF73A9">
              <w:t>15.0613</w:t>
            </w:r>
          </w:p>
        </w:tc>
        <w:tc>
          <w:tcPr>
            <w:tcW w:w="2021" w:type="pct"/>
            <w:tcBorders>
              <w:left w:val="single" w:sz="8" w:space="0" w:color="7BA0CD" w:themeColor="accent1" w:themeTint="BF"/>
              <w:right w:val="single" w:sz="8" w:space="0" w:color="7BA0CD" w:themeColor="accent1" w:themeTint="BF"/>
            </w:tcBorders>
            <w:vAlign w:val="center"/>
          </w:tcPr>
          <w:p w14:paraId="23863FDD" w14:textId="438BBA9F"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Manufacturing Engineering Technology/Technician</w:t>
            </w:r>
          </w:p>
        </w:tc>
        <w:tc>
          <w:tcPr>
            <w:tcW w:w="470" w:type="pct"/>
            <w:tcBorders>
              <w:left w:val="single" w:sz="8" w:space="0" w:color="7BA0CD" w:themeColor="accent1" w:themeTint="BF"/>
              <w:right w:val="single" w:sz="8" w:space="0" w:color="7BA0CD" w:themeColor="accent1" w:themeTint="BF"/>
            </w:tcBorders>
            <w:vAlign w:val="center"/>
          </w:tcPr>
          <w:p w14:paraId="704CC551" w14:textId="58A897D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956.00</w:t>
            </w:r>
          </w:p>
        </w:tc>
        <w:tc>
          <w:tcPr>
            <w:tcW w:w="1983" w:type="pct"/>
            <w:tcBorders>
              <w:left w:val="single" w:sz="8" w:space="0" w:color="7BA0CD" w:themeColor="accent1" w:themeTint="BF"/>
              <w:right w:val="single" w:sz="8" w:space="0" w:color="7BA0CD" w:themeColor="accent1" w:themeTint="BF"/>
            </w:tcBorders>
            <w:vAlign w:val="center"/>
          </w:tcPr>
          <w:p w14:paraId="4C3AB1EE" w14:textId="72DCB3C0"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Manufacturing and Industrial Technology</w:t>
            </w:r>
          </w:p>
        </w:tc>
      </w:tr>
      <w:tr w:rsidR="000C43BF" w:rsidRPr="00A07E93" w14:paraId="2021AF66"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0E7B5118" w14:textId="414C2B29" w:rsidR="000C43BF" w:rsidRPr="004F20A7" w:rsidRDefault="000C43BF" w:rsidP="000C43BF">
            <w:pPr>
              <w:pStyle w:val="Tablenormalleft"/>
              <w:keepNext w:val="0"/>
              <w:widowControl w:val="0"/>
              <w:jc w:val="left"/>
              <w:rPr>
                <w:rFonts w:eastAsiaTheme="minorHAnsi"/>
                <w:szCs w:val="18"/>
              </w:rPr>
            </w:pPr>
            <w:r w:rsidRPr="00BF73A9">
              <w:t>16.9999</w:t>
            </w:r>
          </w:p>
        </w:tc>
        <w:tc>
          <w:tcPr>
            <w:tcW w:w="2021" w:type="pct"/>
            <w:tcBorders>
              <w:left w:val="single" w:sz="8" w:space="0" w:color="7BA0CD" w:themeColor="accent1" w:themeTint="BF"/>
              <w:right w:val="single" w:sz="8" w:space="0" w:color="7BA0CD" w:themeColor="accent1" w:themeTint="BF"/>
            </w:tcBorders>
            <w:vAlign w:val="center"/>
          </w:tcPr>
          <w:p w14:paraId="2BE2B5C0" w14:textId="5DECE27B"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Foreign Languages, Literatures, and Linguistics, Other</w:t>
            </w:r>
          </w:p>
        </w:tc>
        <w:tc>
          <w:tcPr>
            <w:tcW w:w="470" w:type="pct"/>
            <w:tcBorders>
              <w:left w:val="single" w:sz="8" w:space="0" w:color="7BA0CD" w:themeColor="accent1" w:themeTint="BF"/>
              <w:right w:val="single" w:sz="8" w:space="0" w:color="7BA0CD" w:themeColor="accent1" w:themeTint="BF"/>
            </w:tcBorders>
            <w:vAlign w:val="center"/>
          </w:tcPr>
          <w:p w14:paraId="33634AC9" w14:textId="55FAC19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1199.00</w:t>
            </w:r>
          </w:p>
        </w:tc>
        <w:tc>
          <w:tcPr>
            <w:tcW w:w="1983" w:type="pct"/>
            <w:tcBorders>
              <w:left w:val="single" w:sz="8" w:space="0" w:color="7BA0CD" w:themeColor="accent1" w:themeTint="BF"/>
              <w:right w:val="single" w:sz="8" w:space="0" w:color="7BA0CD" w:themeColor="accent1" w:themeTint="BF"/>
            </w:tcBorders>
            <w:vAlign w:val="center"/>
          </w:tcPr>
          <w:p w14:paraId="0338D82A" w14:textId="06925504"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Other Foreign Languages</w:t>
            </w:r>
          </w:p>
        </w:tc>
      </w:tr>
      <w:tr w:rsidR="000C43BF" w:rsidRPr="00A07E93" w14:paraId="68936390"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7529659" w14:textId="5A191268" w:rsidR="000C43BF" w:rsidRPr="004F20A7" w:rsidRDefault="000C43BF" w:rsidP="000C43BF">
            <w:pPr>
              <w:pStyle w:val="Tablenormalleft"/>
              <w:keepNext w:val="0"/>
              <w:widowControl w:val="0"/>
              <w:jc w:val="left"/>
              <w:rPr>
                <w:rFonts w:eastAsiaTheme="minorHAnsi"/>
                <w:szCs w:val="18"/>
              </w:rPr>
            </w:pPr>
            <w:r w:rsidRPr="00BF73A9">
              <w:t>19.0706</w:t>
            </w:r>
          </w:p>
        </w:tc>
        <w:tc>
          <w:tcPr>
            <w:tcW w:w="2021" w:type="pct"/>
            <w:tcBorders>
              <w:left w:val="single" w:sz="8" w:space="0" w:color="7BA0CD" w:themeColor="accent1" w:themeTint="BF"/>
              <w:right w:val="single" w:sz="8" w:space="0" w:color="7BA0CD" w:themeColor="accent1" w:themeTint="BF"/>
            </w:tcBorders>
            <w:vAlign w:val="center"/>
          </w:tcPr>
          <w:p w14:paraId="465EBA4F" w14:textId="5CBD210E"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Child Development</w:t>
            </w:r>
          </w:p>
        </w:tc>
        <w:tc>
          <w:tcPr>
            <w:tcW w:w="470" w:type="pct"/>
            <w:tcBorders>
              <w:left w:val="single" w:sz="8" w:space="0" w:color="7BA0CD" w:themeColor="accent1" w:themeTint="BF"/>
              <w:right w:val="single" w:sz="8" w:space="0" w:color="7BA0CD" w:themeColor="accent1" w:themeTint="BF"/>
            </w:tcBorders>
            <w:vAlign w:val="center"/>
          </w:tcPr>
          <w:p w14:paraId="3B1E4AB5" w14:textId="032F8971"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1305.00</w:t>
            </w:r>
          </w:p>
        </w:tc>
        <w:tc>
          <w:tcPr>
            <w:tcW w:w="1983" w:type="pct"/>
            <w:tcBorders>
              <w:left w:val="single" w:sz="8" w:space="0" w:color="7BA0CD" w:themeColor="accent1" w:themeTint="BF"/>
              <w:right w:val="single" w:sz="8" w:space="0" w:color="7BA0CD" w:themeColor="accent1" w:themeTint="BF"/>
            </w:tcBorders>
            <w:vAlign w:val="center"/>
          </w:tcPr>
          <w:p w14:paraId="1424CBB6" w14:textId="2990E16B"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Child Development/Early Care and Education</w:t>
            </w:r>
          </w:p>
        </w:tc>
      </w:tr>
      <w:tr w:rsidR="000C43BF" w:rsidRPr="00A07E93" w14:paraId="4ABCB898"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95F788E" w14:textId="5A650083" w:rsidR="000C43BF" w:rsidRPr="004F20A7" w:rsidRDefault="000C43BF" w:rsidP="000C43BF">
            <w:pPr>
              <w:pStyle w:val="Tablenormalleft"/>
              <w:keepNext w:val="0"/>
              <w:widowControl w:val="0"/>
              <w:jc w:val="left"/>
              <w:rPr>
                <w:rFonts w:eastAsiaTheme="minorHAnsi"/>
                <w:szCs w:val="18"/>
              </w:rPr>
            </w:pPr>
            <w:r w:rsidRPr="00BF73A9">
              <w:t>19.0709</w:t>
            </w:r>
          </w:p>
        </w:tc>
        <w:tc>
          <w:tcPr>
            <w:tcW w:w="2021" w:type="pct"/>
            <w:tcBorders>
              <w:left w:val="single" w:sz="8" w:space="0" w:color="7BA0CD" w:themeColor="accent1" w:themeTint="BF"/>
              <w:right w:val="single" w:sz="8" w:space="0" w:color="7BA0CD" w:themeColor="accent1" w:themeTint="BF"/>
            </w:tcBorders>
            <w:vAlign w:val="center"/>
          </w:tcPr>
          <w:p w14:paraId="5EA0D958" w14:textId="385AA94A"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Child Care Provider/Assistant</w:t>
            </w:r>
          </w:p>
        </w:tc>
        <w:tc>
          <w:tcPr>
            <w:tcW w:w="470" w:type="pct"/>
            <w:tcBorders>
              <w:left w:val="single" w:sz="8" w:space="0" w:color="7BA0CD" w:themeColor="accent1" w:themeTint="BF"/>
              <w:right w:val="single" w:sz="8" w:space="0" w:color="7BA0CD" w:themeColor="accent1" w:themeTint="BF"/>
            </w:tcBorders>
            <w:vAlign w:val="center"/>
          </w:tcPr>
          <w:p w14:paraId="5BBEE540" w14:textId="3404B254"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1305.00</w:t>
            </w:r>
          </w:p>
        </w:tc>
        <w:tc>
          <w:tcPr>
            <w:tcW w:w="1983" w:type="pct"/>
            <w:tcBorders>
              <w:left w:val="single" w:sz="8" w:space="0" w:color="7BA0CD" w:themeColor="accent1" w:themeTint="BF"/>
              <w:right w:val="single" w:sz="8" w:space="0" w:color="7BA0CD" w:themeColor="accent1" w:themeTint="BF"/>
            </w:tcBorders>
            <w:vAlign w:val="center"/>
          </w:tcPr>
          <w:p w14:paraId="456DB1C0" w14:textId="546B8540"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Child Development/Early Care and Education</w:t>
            </w:r>
          </w:p>
        </w:tc>
      </w:tr>
      <w:tr w:rsidR="000C43BF" w:rsidRPr="00A07E93" w14:paraId="2D002191"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50287BE" w14:textId="52AF9A2D" w:rsidR="000C43BF" w:rsidRPr="004F20A7" w:rsidRDefault="000C43BF" w:rsidP="000C43BF">
            <w:pPr>
              <w:pStyle w:val="Tablenormalleft"/>
              <w:keepNext w:val="0"/>
              <w:widowControl w:val="0"/>
              <w:jc w:val="left"/>
              <w:rPr>
                <w:rFonts w:eastAsiaTheme="minorHAnsi"/>
                <w:szCs w:val="18"/>
              </w:rPr>
            </w:pPr>
            <w:r w:rsidRPr="00BF73A9">
              <w:t>23.9999</w:t>
            </w:r>
          </w:p>
        </w:tc>
        <w:tc>
          <w:tcPr>
            <w:tcW w:w="2021" w:type="pct"/>
            <w:tcBorders>
              <w:left w:val="single" w:sz="8" w:space="0" w:color="7BA0CD" w:themeColor="accent1" w:themeTint="BF"/>
              <w:right w:val="single" w:sz="8" w:space="0" w:color="7BA0CD" w:themeColor="accent1" w:themeTint="BF"/>
            </w:tcBorders>
            <w:vAlign w:val="center"/>
          </w:tcPr>
          <w:p w14:paraId="0D1E6CC7" w14:textId="4215D26B"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English Language and Literature/Letters, Other</w:t>
            </w:r>
          </w:p>
        </w:tc>
        <w:tc>
          <w:tcPr>
            <w:tcW w:w="470" w:type="pct"/>
            <w:tcBorders>
              <w:left w:val="single" w:sz="8" w:space="0" w:color="7BA0CD" w:themeColor="accent1" w:themeTint="BF"/>
              <w:right w:val="single" w:sz="8" w:space="0" w:color="7BA0CD" w:themeColor="accent1" w:themeTint="BF"/>
            </w:tcBorders>
            <w:vAlign w:val="center"/>
          </w:tcPr>
          <w:p w14:paraId="633FBF38" w14:textId="2D8DE787"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1502.00</w:t>
            </w:r>
          </w:p>
        </w:tc>
        <w:tc>
          <w:tcPr>
            <w:tcW w:w="1983" w:type="pct"/>
            <w:tcBorders>
              <w:left w:val="single" w:sz="8" w:space="0" w:color="7BA0CD" w:themeColor="accent1" w:themeTint="BF"/>
              <w:right w:val="single" w:sz="8" w:space="0" w:color="7BA0CD" w:themeColor="accent1" w:themeTint="BF"/>
            </w:tcBorders>
            <w:vAlign w:val="center"/>
          </w:tcPr>
          <w:p w14:paraId="1F97B8A3" w14:textId="3C158155"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Language Arts</w:t>
            </w:r>
          </w:p>
        </w:tc>
      </w:tr>
      <w:tr w:rsidR="000C43BF" w:rsidRPr="00A07E93" w14:paraId="3A6D8F8B"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9147F3B" w14:textId="50096879" w:rsidR="000C43BF" w:rsidRPr="004F20A7" w:rsidRDefault="000C43BF" w:rsidP="000C43BF">
            <w:pPr>
              <w:pStyle w:val="Tablenormalleft"/>
              <w:keepNext w:val="0"/>
              <w:widowControl w:val="0"/>
              <w:jc w:val="left"/>
              <w:rPr>
                <w:rFonts w:eastAsiaTheme="minorHAnsi"/>
                <w:szCs w:val="18"/>
              </w:rPr>
            </w:pPr>
            <w:r w:rsidRPr="00BF73A9">
              <w:t>26.0101</w:t>
            </w:r>
          </w:p>
        </w:tc>
        <w:tc>
          <w:tcPr>
            <w:tcW w:w="2021" w:type="pct"/>
            <w:tcBorders>
              <w:left w:val="single" w:sz="8" w:space="0" w:color="7BA0CD" w:themeColor="accent1" w:themeTint="BF"/>
              <w:right w:val="single" w:sz="8" w:space="0" w:color="7BA0CD" w:themeColor="accent1" w:themeTint="BF"/>
            </w:tcBorders>
            <w:vAlign w:val="center"/>
          </w:tcPr>
          <w:p w14:paraId="2261F492" w14:textId="6B5E13C9"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Biology/Biological Sciences, General</w:t>
            </w:r>
          </w:p>
        </w:tc>
        <w:tc>
          <w:tcPr>
            <w:tcW w:w="470" w:type="pct"/>
            <w:tcBorders>
              <w:left w:val="single" w:sz="8" w:space="0" w:color="7BA0CD" w:themeColor="accent1" w:themeTint="BF"/>
              <w:right w:val="single" w:sz="8" w:space="0" w:color="7BA0CD" w:themeColor="accent1" w:themeTint="BF"/>
            </w:tcBorders>
            <w:vAlign w:val="center"/>
          </w:tcPr>
          <w:p w14:paraId="22F03B5D" w14:textId="09E3020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401.00</w:t>
            </w:r>
          </w:p>
        </w:tc>
        <w:tc>
          <w:tcPr>
            <w:tcW w:w="1983" w:type="pct"/>
            <w:tcBorders>
              <w:left w:val="single" w:sz="8" w:space="0" w:color="7BA0CD" w:themeColor="accent1" w:themeTint="BF"/>
              <w:right w:val="single" w:sz="8" w:space="0" w:color="7BA0CD" w:themeColor="accent1" w:themeTint="BF"/>
            </w:tcBorders>
            <w:vAlign w:val="center"/>
          </w:tcPr>
          <w:p w14:paraId="75222CB5" w14:textId="4BABBAEA"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Biology, General</w:t>
            </w:r>
          </w:p>
        </w:tc>
      </w:tr>
      <w:tr w:rsidR="000C43BF" w:rsidRPr="00A07E93" w14:paraId="6FA68375"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828A349" w14:textId="6E974943" w:rsidR="000C43BF" w:rsidRPr="004F20A7" w:rsidRDefault="000C43BF" w:rsidP="000C43BF">
            <w:pPr>
              <w:pStyle w:val="Tablenormalleft"/>
              <w:keepNext w:val="0"/>
              <w:widowControl w:val="0"/>
              <w:jc w:val="left"/>
              <w:rPr>
                <w:rFonts w:eastAsiaTheme="minorHAnsi"/>
                <w:szCs w:val="18"/>
              </w:rPr>
            </w:pPr>
            <w:r w:rsidRPr="00BF73A9">
              <w:t>27.0101</w:t>
            </w:r>
          </w:p>
        </w:tc>
        <w:tc>
          <w:tcPr>
            <w:tcW w:w="2021" w:type="pct"/>
            <w:tcBorders>
              <w:left w:val="single" w:sz="8" w:space="0" w:color="7BA0CD" w:themeColor="accent1" w:themeTint="BF"/>
              <w:right w:val="single" w:sz="8" w:space="0" w:color="7BA0CD" w:themeColor="accent1" w:themeTint="BF"/>
            </w:tcBorders>
            <w:vAlign w:val="center"/>
          </w:tcPr>
          <w:p w14:paraId="6A0CEE8D" w14:textId="4E2C4B3B"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Mathematics, General</w:t>
            </w:r>
          </w:p>
        </w:tc>
        <w:tc>
          <w:tcPr>
            <w:tcW w:w="470" w:type="pct"/>
            <w:tcBorders>
              <w:left w:val="single" w:sz="8" w:space="0" w:color="7BA0CD" w:themeColor="accent1" w:themeTint="BF"/>
              <w:right w:val="single" w:sz="8" w:space="0" w:color="7BA0CD" w:themeColor="accent1" w:themeTint="BF"/>
            </w:tcBorders>
            <w:vAlign w:val="center"/>
          </w:tcPr>
          <w:p w14:paraId="0D28788F" w14:textId="0E33BCA2"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1701.00</w:t>
            </w:r>
          </w:p>
        </w:tc>
        <w:tc>
          <w:tcPr>
            <w:tcW w:w="1983" w:type="pct"/>
            <w:tcBorders>
              <w:left w:val="single" w:sz="8" w:space="0" w:color="7BA0CD" w:themeColor="accent1" w:themeTint="BF"/>
              <w:right w:val="single" w:sz="8" w:space="0" w:color="7BA0CD" w:themeColor="accent1" w:themeTint="BF"/>
            </w:tcBorders>
            <w:vAlign w:val="center"/>
          </w:tcPr>
          <w:p w14:paraId="64A5B78D" w14:textId="0F42EAE2"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Mathematics, General</w:t>
            </w:r>
          </w:p>
        </w:tc>
      </w:tr>
      <w:tr w:rsidR="000C43BF" w:rsidRPr="00A07E93" w14:paraId="0B8B59CC"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620E2241" w14:textId="5AC657F3" w:rsidR="000C43BF" w:rsidRPr="004F20A7" w:rsidRDefault="000C43BF" w:rsidP="000C43BF">
            <w:pPr>
              <w:pStyle w:val="Tablenormalleft"/>
              <w:keepNext w:val="0"/>
              <w:widowControl w:val="0"/>
              <w:jc w:val="left"/>
              <w:rPr>
                <w:rFonts w:eastAsiaTheme="minorHAnsi"/>
                <w:szCs w:val="18"/>
              </w:rPr>
            </w:pPr>
            <w:r w:rsidRPr="00BF73A9">
              <w:t>31.0301</w:t>
            </w:r>
          </w:p>
        </w:tc>
        <w:tc>
          <w:tcPr>
            <w:tcW w:w="2021" w:type="pct"/>
            <w:tcBorders>
              <w:left w:val="single" w:sz="8" w:space="0" w:color="7BA0CD" w:themeColor="accent1" w:themeTint="BF"/>
              <w:right w:val="single" w:sz="8" w:space="0" w:color="7BA0CD" w:themeColor="accent1" w:themeTint="BF"/>
            </w:tcBorders>
            <w:vAlign w:val="center"/>
          </w:tcPr>
          <w:p w14:paraId="5344F01A" w14:textId="32536B63"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Parks, Recreation and Leisure Facilities Management, General</w:t>
            </w:r>
          </w:p>
        </w:tc>
        <w:tc>
          <w:tcPr>
            <w:tcW w:w="470" w:type="pct"/>
            <w:tcBorders>
              <w:left w:val="single" w:sz="8" w:space="0" w:color="7BA0CD" w:themeColor="accent1" w:themeTint="BF"/>
              <w:right w:val="single" w:sz="8" w:space="0" w:color="7BA0CD" w:themeColor="accent1" w:themeTint="BF"/>
            </w:tcBorders>
            <w:vAlign w:val="center"/>
          </w:tcPr>
          <w:p w14:paraId="16BC0325" w14:textId="5DE21ACC"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115.10</w:t>
            </w:r>
          </w:p>
        </w:tc>
        <w:tc>
          <w:tcPr>
            <w:tcW w:w="1983" w:type="pct"/>
            <w:tcBorders>
              <w:left w:val="single" w:sz="8" w:space="0" w:color="7BA0CD" w:themeColor="accent1" w:themeTint="BF"/>
              <w:right w:val="single" w:sz="8" w:space="0" w:color="7BA0CD" w:themeColor="accent1" w:themeTint="BF"/>
            </w:tcBorders>
            <w:vAlign w:val="center"/>
          </w:tcPr>
          <w:p w14:paraId="45D152EC" w14:textId="7768EFBD"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Parks and Outdoor Recreation</w:t>
            </w:r>
          </w:p>
        </w:tc>
      </w:tr>
      <w:tr w:rsidR="000C43BF" w:rsidRPr="00A07E93" w14:paraId="363960AA"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C009F4D" w14:textId="69912D3B" w:rsidR="000C43BF" w:rsidRPr="004F20A7" w:rsidRDefault="000C43BF" w:rsidP="000C43BF">
            <w:pPr>
              <w:pStyle w:val="Tablenormalleft"/>
              <w:keepNext w:val="0"/>
              <w:widowControl w:val="0"/>
              <w:jc w:val="left"/>
              <w:rPr>
                <w:rFonts w:eastAsiaTheme="minorHAnsi"/>
                <w:szCs w:val="18"/>
              </w:rPr>
            </w:pPr>
            <w:r w:rsidRPr="00BF73A9">
              <w:t>40.0101</w:t>
            </w:r>
          </w:p>
        </w:tc>
        <w:tc>
          <w:tcPr>
            <w:tcW w:w="2021" w:type="pct"/>
            <w:tcBorders>
              <w:left w:val="single" w:sz="8" w:space="0" w:color="7BA0CD" w:themeColor="accent1" w:themeTint="BF"/>
              <w:right w:val="single" w:sz="8" w:space="0" w:color="7BA0CD" w:themeColor="accent1" w:themeTint="BF"/>
            </w:tcBorders>
            <w:vAlign w:val="center"/>
          </w:tcPr>
          <w:p w14:paraId="3EEC5604" w14:textId="7FCED9B3"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Physical Sciences</w:t>
            </w:r>
          </w:p>
        </w:tc>
        <w:tc>
          <w:tcPr>
            <w:tcW w:w="470" w:type="pct"/>
            <w:tcBorders>
              <w:left w:val="single" w:sz="8" w:space="0" w:color="7BA0CD" w:themeColor="accent1" w:themeTint="BF"/>
              <w:right w:val="single" w:sz="8" w:space="0" w:color="7BA0CD" w:themeColor="accent1" w:themeTint="BF"/>
            </w:tcBorders>
            <w:vAlign w:val="center"/>
          </w:tcPr>
          <w:p w14:paraId="0BACB9D6" w14:textId="2295CAAD"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1901.00</w:t>
            </w:r>
          </w:p>
        </w:tc>
        <w:tc>
          <w:tcPr>
            <w:tcW w:w="1983" w:type="pct"/>
            <w:tcBorders>
              <w:left w:val="single" w:sz="8" w:space="0" w:color="7BA0CD" w:themeColor="accent1" w:themeTint="BF"/>
              <w:right w:val="single" w:sz="8" w:space="0" w:color="7BA0CD" w:themeColor="accent1" w:themeTint="BF"/>
            </w:tcBorders>
            <w:vAlign w:val="center"/>
          </w:tcPr>
          <w:p w14:paraId="7C620D2C" w14:textId="2BFD2985"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Physical Sciences, General</w:t>
            </w:r>
          </w:p>
        </w:tc>
      </w:tr>
      <w:tr w:rsidR="000C43BF" w:rsidRPr="00A07E93" w14:paraId="52FE3756"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523E2A74" w14:textId="529E611F" w:rsidR="000C43BF" w:rsidRPr="004F20A7" w:rsidRDefault="000C43BF" w:rsidP="000C43BF">
            <w:pPr>
              <w:pStyle w:val="Tablenormalleft"/>
              <w:keepNext w:val="0"/>
              <w:widowControl w:val="0"/>
              <w:jc w:val="left"/>
              <w:rPr>
                <w:rFonts w:eastAsiaTheme="minorHAnsi"/>
                <w:szCs w:val="18"/>
              </w:rPr>
            </w:pPr>
            <w:r w:rsidRPr="00BF73A9">
              <w:t>42.0101</w:t>
            </w:r>
          </w:p>
        </w:tc>
        <w:tc>
          <w:tcPr>
            <w:tcW w:w="2021" w:type="pct"/>
            <w:tcBorders>
              <w:left w:val="single" w:sz="8" w:space="0" w:color="7BA0CD" w:themeColor="accent1" w:themeTint="BF"/>
              <w:right w:val="single" w:sz="8" w:space="0" w:color="7BA0CD" w:themeColor="accent1" w:themeTint="BF"/>
            </w:tcBorders>
            <w:vAlign w:val="center"/>
          </w:tcPr>
          <w:p w14:paraId="35EF9608" w14:textId="5A84F9B2"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Psychology, General</w:t>
            </w:r>
          </w:p>
        </w:tc>
        <w:tc>
          <w:tcPr>
            <w:tcW w:w="470" w:type="pct"/>
            <w:tcBorders>
              <w:left w:val="single" w:sz="8" w:space="0" w:color="7BA0CD" w:themeColor="accent1" w:themeTint="BF"/>
              <w:right w:val="single" w:sz="8" w:space="0" w:color="7BA0CD" w:themeColor="accent1" w:themeTint="BF"/>
            </w:tcBorders>
            <w:vAlign w:val="center"/>
          </w:tcPr>
          <w:p w14:paraId="435B8E58" w14:textId="571DFE19"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2001.00</w:t>
            </w:r>
          </w:p>
        </w:tc>
        <w:tc>
          <w:tcPr>
            <w:tcW w:w="1983" w:type="pct"/>
            <w:tcBorders>
              <w:left w:val="single" w:sz="8" w:space="0" w:color="7BA0CD" w:themeColor="accent1" w:themeTint="BF"/>
              <w:right w:val="single" w:sz="8" w:space="0" w:color="7BA0CD" w:themeColor="accent1" w:themeTint="BF"/>
            </w:tcBorders>
            <w:vAlign w:val="center"/>
          </w:tcPr>
          <w:p w14:paraId="2A708CDA" w14:textId="7369BA72"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Psychology, General</w:t>
            </w:r>
          </w:p>
        </w:tc>
      </w:tr>
      <w:tr w:rsidR="000C43BF" w:rsidRPr="00A07E93" w14:paraId="65B7235D"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D9DCC4F" w14:textId="350365A9" w:rsidR="000C43BF" w:rsidRPr="004F20A7" w:rsidRDefault="000C43BF" w:rsidP="000C43BF">
            <w:pPr>
              <w:pStyle w:val="Tablenormalleft"/>
              <w:keepNext w:val="0"/>
              <w:widowControl w:val="0"/>
              <w:jc w:val="left"/>
              <w:rPr>
                <w:rFonts w:eastAsiaTheme="minorHAnsi"/>
                <w:szCs w:val="18"/>
              </w:rPr>
            </w:pPr>
            <w:r w:rsidRPr="00BF73A9">
              <w:t>43.0103</w:t>
            </w:r>
          </w:p>
        </w:tc>
        <w:tc>
          <w:tcPr>
            <w:tcW w:w="2021" w:type="pct"/>
            <w:tcBorders>
              <w:left w:val="single" w:sz="8" w:space="0" w:color="7BA0CD" w:themeColor="accent1" w:themeTint="BF"/>
              <w:right w:val="single" w:sz="8" w:space="0" w:color="7BA0CD" w:themeColor="accent1" w:themeTint="BF"/>
            </w:tcBorders>
            <w:vAlign w:val="center"/>
          </w:tcPr>
          <w:p w14:paraId="29B3EC62" w14:textId="1631D09E"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 xml:space="preserve">Criminal Justice/Law </w:t>
            </w:r>
            <w:r w:rsidR="006C38C7" w:rsidRPr="007B4E83">
              <w:t>Enfo</w:t>
            </w:r>
            <w:r w:rsidR="006C38C7">
              <w:t>rce</w:t>
            </w:r>
            <w:r w:rsidR="006C38C7" w:rsidRPr="007B4E83">
              <w:t>ment</w:t>
            </w:r>
            <w:r w:rsidRPr="007B4E83">
              <w:t xml:space="preserve"> Administration</w:t>
            </w:r>
          </w:p>
        </w:tc>
        <w:tc>
          <w:tcPr>
            <w:tcW w:w="470" w:type="pct"/>
            <w:tcBorders>
              <w:left w:val="single" w:sz="8" w:space="0" w:color="7BA0CD" w:themeColor="accent1" w:themeTint="BF"/>
              <w:right w:val="single" w:sz="8" w:space="0" w:color="7BA0CD" w:themeColor="accent1" w:themeTint="BF"/>
            </w:tcBorders>
            <w:vAlign w:val="center"/>
          </w:tcPr>
          <w:p w14:paraId="768044D7" w14:textId="5F8ABE4D"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2105.00</w:t>
            </w:r>
          </w:p>
        </w:tc>
        <w:tc>
          <w:tcPr>
            <w:tcW w:w="1983" w:type="pct"/>
            <w:tcBorders>
              <w:left w:val="single" w:sz="8" w:space="0" w:color="7BA0CD" w:themeColor="accent1" w:themeTint="BF"/>
              <w:right w:val="single" w:sz="8" w:space="0" w:color="7BA0CD" w:themeColor="accent1" w:themeTint="BF"/>
            </w:tcBorders>
            <w:vAlign w:val="center"/>
          </w:tcPr>
          <w:p w14:paraId="31DDD2C2" w14:textId="47287423"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Administration of Justice</w:t>
            </w:r>
          </w:p>
        </w:tc>
      </w:tr>
      <w:tr w:rsidR="000C43BF" w:rsidRPr="00A07E93" w14:paraId="7AEC64CF"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DD49F0C" w14:textId="1B3A1F5F" w:rsidR="000C43BF" w:rsidRPr="004F20A7" w:rsidRDefault="000C43BF" w:rsidP="000C43BF">
            <w:pPr>
              <w:pStyle w:val="Tablenormalleft"/>
              <w:keepNext w:val="0"/>
              <w:widowControl w:val="0"/>
              <w:jc w:val="left"/>
              <w:rPr>
                <w:rFonts w:eastAsiaTheme="minorHAnsi"/>
                <w:szCs w:val="18"/>
              </w:rPr>
            </w:pPr>
            <w:r w:rsidRPr="00BF73A9">
              <w:t>43.0104</w:t>
            </w:r>
          </w:p>
        </w:tc>
        <w:tc>
          <w:tcPr>
            <w:tcW w:w="2021" w:type="pct"/>
            <w:tcBorders>
              <w:left w:val="single" w:sz="8" w:space="0" w:color="7BA0CD" w:themeColor="accent1" w:themeTint="BF"/>
              <w:right w:val="single" w:sz="8" w:space="0" w:color="7BA0CD" w:themeColor="accent1" w:themeTint="BF"/>
            </w:tcBorders>
            <w:vAlign w:val="center"/>
          </w:tcPr>
          <w:p w14:paraId="20E6574B" w14:textId="464455B1"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Criminal Justice/Safety Studies</w:t>
            </w:r>
          </w:p>
        </w:tc>
        <w:tc>
          <w:tcPr>
            <w:tcW w:w="470" w:type="pct"/>
            <w:tcBorders>
              <w:left w:val="single" w:sz="8" w:space="0" w:color="7BA0CD" w:themeColor="accent1" w:themeTint="BF"/>
              <w:right w:val="single" w:sz="8" w:space="0" w:color="7BA0CD" w:themeColor="accent1" w:themeTint="BF"/>
            </w:tcBorders>
            <w:vAlign w:val="center"/>
          </w:tcPr>
          <w:p w14:paraId="3FAF9A1C" w14:textId="6A46F2C3"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2105.00</w:t>
            </w:r>
          </w:p>
        </w:tc>
        <w:tc>
          <w:tcPr>
            <w:tcW w:w="1983" w:type="pct"/>
            <w:tcBorders>
              <w:left w:val="single" w:sz="8" w:space="0" w:color="7BA0CD" w:themeColor="accent1" w:themeTint="BF"/>
              <w:right w:val="single" w:sz="8" w:space="0" w:color="7BA0CD" w:themeColor="accent1" w:themeTint="BF"/>
            </w:tcBorders>
            <w:vAlign w:val="center"/>
          </w:tcPr>
          <w:p w14:paraId="4EB7F10C" w14:textId="1C17073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Administration of Justice</w:t>
            </w:r>
          </w:p>
        </w:tc>
      </w:tr>
      <w:tr w:rsidR="000C43BF" w:rsidRPr="00A07E93" w14:paraId="1300C852"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59E45727" w14:textId="6289F113" w:rsidR="000C43BF" w:rsidRPr="004F20A7" w:rsidRDefault="000C43BF" w:rsidP="000C43BF">
            <w:pPr>
              <w:pStyle w:val="Tablenormalleft"/>
              <w:keepNext w:val="0"/>
              <w:widowControl w:val="0"/>
              <w:jc w:val="left"/>
              <w:rPr>
                <w:rFonts w:eastAsiaTheme="minorHAnsi"/>
                <w:szCs w:val="18"/>
              </w:rPr>
            </w:pPr>
            <w:r w:rsidRPr="00BF73A9">
              <w:t>43.0107</w:t>
            </w:r>
          </w:p>
        </w:tc>
        <w:tc>
          <w:tcPr>
            <w:tcW w:w="2021" w:type="pct"/>
            <w:tcBorders>
              <w:left w:val="single" w:sz="8" w:space="0" w:color="7BA0CD" w:themeColor="accent1" w:themeTint="BF"/>
              <w:right w:val="single" w:sz="8" w:space="0" w:color="7BA0CD" w:themeColor="accent1" w:themeTint="BF"/>
            </w:tcBorders>
            <w:vAlign w:val="center"/>
          </w:tcPr>
          <w:p w14:paraId="27F05A0C" w14:textId="5A277253"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Criminal Justice/Police Science</w:t>
            </w:r>
          </w:p>
        </w:tc>
        <w:tc>
          <w:tcPr>
            <w:tcW w:w="470" w:type="pct"/>
            <w:tcBorders>
              <w:left w:val="single" w:sz="8" w:space="0" w:color="7BA0CD" w:themeColor="accent1" w:themeTint="BF"/>
              <w:right w:val="single" w:sz="8" w:space="0" w:color="7BA0CD" w:themeColor="accent1" w:themeTint="BF"/>
            </w:tcBorders>
            <w:vAlign w:val="center"/>
          </w:tcPr>
          <w:p w14:paraId="4ABB40E5" w14:textId="7F47FC4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2105.00</w:t>
            </w:r>
          </w:p>
        </w:tc>
        <w:tc>
          <w:tcPr>
            <w:tcW w:w="1983" w:type="pct"/>
            <w:tcBorders>
              <w:left w:val="single" w:sz="8" w:space="0" w:color="7BA0CD" w:themeColor="accent1" w:themeTint="BF"/>
              <w:right w:val="single" w:sz="8" w:space="0" w:color="7BA0CD" w:themeColor="accent1" w:themeTint="BF"/>
            </w:tcBorders>
            <w:vAlign w:val="center"/>
          </w:tcPr>
          <w:p w14:paraId="0CB5766C" w14:textId="1978D20B"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Administration of Justice</w:t>
            </w:r>
          </w:p>
        </w:tc>
      </w:tr>
      <w:tr w:rsidR="000C43BF" w:rsidRPr="00A07E93" w14:paraId="28530B10"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2011A531" w14:textId="4AAC14DD" w:rsidR="000C43BF" w:rsidRPr="004F20A7" w:rsidRDefault="000C43BF" w:rsidP="000C43BF">
            <w:pPr>
              <w:pStyle w:val="Tablenormalleft"/>
              <w:keepNext w:val="0"/>
              <w:widowControl w:val="0"/>
              <w:jc w:val="left"/>
              <w:rPr>
                <w:rFonts w:eastAsiaTheme="minorHAnsi"/>
                <w:szCs w:val="18"/>
              </w:rPr>
            </w:pPr>
            <w:r w:rsidRPr="00BF73A9">
              <w:t>45.0101</w:t>
            </w:r>
          </w:p>
        </w:tc>
        <w:tc>
          <w:tcPr>
            <w:tcW w:w="2021" w:type="pct"/>
            <w:tcBorders>
              <w:left w:val="single" w:sz="8" w:space="0" w:color="7BA0CD" w:themeColor="accent1" w:themeTint="BF"/>
              <w:right w:val="single" w:sz="8" w:space="0" w:color="7BA0CD" w:themeColor="accent1" w:themeTint="BF"/>
            </w:tcBorders>
            <w:vAlign w:val="center"/>
          </w:tcPr>
          <w:p w14:paraId="5FFB1381" w14:textId="2EFE1389"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Social Sciences, General</w:t>
            </w:r>
          </w:p>
        </w:tc>
        <w:tc>
          <w:tcPr>
            <w:tcW w:w="470" w:type="pct"/>
            <w:tcBorders>
              <w:left w:val="single" w:sz="8" w:space="0" w:color="7BA0CD" w:themeColor="accent1" w:themeTint="BF"/>
              <w:right w:val="single" w:sz="8" w:space="0" w:color="7BA0CD" w:themeColor="accent1" w:themeTint="BF"/>
            </w:tcBorders>
            <w:vAlign w:val="center"/>
          </w:tcPr>
          <w:p w14:paraId="3E281960" w14:textId="71F384C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2201.00</w:t>
            </w:r>
          </w:p>
        </w:tc>
        <w:tc>
          <w:tcPr>
            <w:tcW w:w="1983" w:type="pct"/>
            <w:tcBorders>
              <w:left w:val="single" w:sz="8" w:space="0" w:color="7BA0CD" w:themeColor="accent1" w:themeTint="BF"/>
              <w:right w:val="single" w:sz="8" w:space="0" w:color="7BA0CD" w:themeColor="accent1" w:themeTint="BF"/>
            </w:tcBorders>
            <w:vAlign w:val="center"/>
          </w:tcPr>
          <w:p w14:paraId="236245BA" w14:textId="3AA20E17"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Social Sciences, General</w:t>
            </w:r>
          </w:p>
        </w:tc>
      </w:tr>
      <w:tr w:rsidR="000C43BF" w:rsidRPr="00A07E93" w14:paraId="799025A9"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4DC2E65" w14:textId="678B113D" w:rsidR="000C43BF" w:rsidRPr="004F20A7" w:rsidRDefault="000C43BF" w:rsidP="000C43BF">
            <w:pPr>
              <w:pStyle w:val="Tablenormalleft"/>
              <w:keepNext w:val="0"/>
              <w:widowControl w:val="0"/>
              <w:jc w:val="left"/>
              <w:rPr>
                <w:rFonts w:eastAsiaTheme="minorHAnsi"/>
                <w:szCs w:val="18"/>
              </w:rPr>
            </w:pPr>
            <w:r w:rsidRPr="00BF73A9">
              <w:t>47.0604</w:t>
            </w:r>
          </w:p>
        </w:tc>
        <w:tc>
          <w:tcPr>
            <w:tcW w:w="2021" w:type="pct"/>
            <w:tcBorders>
              <w:left w:val="single" w:sz="8" w:space="0" w:color="7BA0CD" w:themeColor="accent1" w:themeTint="BF"/>
              <w:right w:val="single" w:sz="8" w:space="0" w:color="7BA0CD" w:themeColor="accent1" w:themeTint="BF"/>
            </w:tcBorders>
            <w:vAlign w:val="center"/>
          </w:tcPr>
          <w:p w14:paraId="5DEC9A67" w14:textId="0F03934F"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Automobile/Automotive Mechanics Technology/Technician</w:t>
            </w:r>
          </w:p>
        </w:tc>
        <w:tc>
          <w:tcPr>
            <w:tcW w:w="470" w:type="pct"/>
            <w:tcBorders>
              <w:left w:val="single" w:sz="8" w:space="0" w:color="7BA0CD" w:themeColor="accent1" w:themeTint="BF"/>
              <w:right w:val="single" w:sz="8" w:space="0" w:color="7BA0CD" w:themeColor="accent1" w:themeTint="BF"/>
            </w:tcBorders>
            <w:vAlign w:val="center"/>
          </w:tcPr>
          <w:p w14:paraId="58EC46B8" w14:textId="77FDEAD0"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948.00</w:t>
            </w:r>
          </w:p>
        </w:tc>
        <w:tc>
          <w:tcPr>
            <w:tcW w:w="1983" w:type="pct"/>
            <w:tcBorders>
              <w:left w:val="single" w:sz="8" w:space="0" w:color="7BA0CD" w:themeColor="accent1" w:themeTint="BF"/>
              <w:right w:val="single" w:sz="8" w:space="0" w:color="7BA0CD" w:themeColor="accent1" w:themeTint="BF"/>
            </w:tcBorders>
            <w:vAlign w:val="center"/>
          </w:tcPr>
          <w:p w14:paraId="7B61F0DC" w14:textId="472A32D1"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Automotive Technology</w:t>
            </w:r>
          </w:p>
        </w:tc>
      </w:tr>
      <w:tr w:rsidR="000C43BF" w:rsidRPr="00A07E93" w14:paraId="1A208EF4"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2A01B337" w14:textId="6246ADF0" w:rsidR="000C43BF" w:rsidRPr="004F20A7" w:rsidRDefault="000C43BF" w:rsidP="000C43BF">
            <w:pPr>
              <w:pStyle w:val="Tablenormalleft"/>
              <w:keepNext w:val="0"/>
              <w:widowControl w:val="0"/>
              <w:jc w:val="left"/>
              <w:rPr>
                <w:rFonts w:eastAsiaTheme="minorHAnsi"/>
                <w:szCs w:val="18"/>
              </w:rPr>
            </w:pPr>
            <w:r w:rsidRPr="00BF73A9">
              <w:t>47.0607</w:t>
            </w:r>
          </w:p>
        </w:tc>
        <w:tc>
          <w:tcPr>
            <w:tcW w:w="2021" w:type="pct"/>
            <w:tcBorders>
              <w:left w:val="single" w:sz="8" w:space="0" w:color="7BA0CD" w:themeColor="accent1" w:themeTint="BF"/>
              <w:right w:val="single" w:sz="8" w:space="0" w:color="7BA0CD" w:themeColor="accent1" w:themeTint="BF"/>
            </w:tcBorders>
            <w:vAlign w:val="center"/>
          </w:tcPr>
          <w:p w14:paraId="1E451156" w14:textId="7FB1BB4F"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 xml:space="preserve">Airframe Mechanics and </w:t>
            </w:r>
            <w:r w:rsidR="006C38C7" w:rsidRPr="007B4E83">
              <w:t>Ai</w:t>
            </w:r>
            <w:r w:rsidR="006C38C7">
              <w:t>rcr</w:t>
            </w:r>
            <w:r w:rsidR="006C38C7" w:rsidRPr="007B4E83">
              <w:t>aft</w:t>
            </w:r>
            <w:r w:rsidRPr="007B4E83">
              <w:t xml:space="preserve"> Maintenance Technology/Technician</w:t>
            </w:r>
          </w:p>
        </w:tc>
        <w:tc>
          <w:tcPr>
            <w:tcW w:w="470" w:type="pct"/>
            <w:tcBorders>
              <w:left w:val="single" w:sz="8" w:space="0" w:color="7BA0CD" w:themeColor="accent1" w:themeTint="BF"/>
              <w:right w:val="single" w:sz="8" w:space="0" w:color="7BA0CD" w:themeColor="accent1" w:themeTint="BF"/>
            </w:tcBorders>
            <w:vAlign w:val="center"/>
          </w:tcPr>
          <w:p w14:paraId="5AB6C73D" w14:textId="5E4CAA3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950.00</w:t>
            </w:r>
          </w:p>
        </w:tc>
        <w:tc>
          <w:tcPr>
            <w:tcW w:w="1983" w:type="pct"/>
            <w:tcBorders>
              <w:left w:val="single" w:sz="8" w:space="0" w:color="7BA0CD" w:themeColor="accent1" w:themeTint="BF"/>
              <w:right w:val="single" w:sz="8" w:space="0" w:color="7BA0CD" w:themeColor="accent1" w:themeTint="BF"/>
            </w:tcBorders>
            <w:vAlign w:val="center"/>
          </w:tcPr>
          <w:p w14:paraId="31065570" w14:textId="38EE8464"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Aeronautical and Aviation Technology</w:t>
            </w:r>
          </w:p>
        </w:tc>
      </w:tr>
      <w:tr w:rsidR="000C43BF" w:rsidRPr="00A07E93" w14:paraId="48758B35"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6E18EC79" w14:textId="283CBB3B" w:rsidR="000C43BF" w:rsidRPr="004F20A7" w:rsidRDefault="000C43BF" w:rsidP="000C43BF">
            <w:pPr>
              <w:pStyle w:val="Tablenormalleft"/>
              <w:keepNext w:val="0"/>
              <w:widowControl w:val="0"/>
              <w:jc w:val="left"/>
              <w:rPr>
                <w:rFonts w:eastAsiaTheme="minorHAnsi"/>
                <w:szCs w:val="18"/>
              </w:rPr>
            </w:pPr>
            <w:r w:rsidRPr="00BF73A9">
              <w:t>47.0608</w:t>
            </w:r>
          </w:p>
        </w:tc>
        <w:tc>
          <w:tcPr>
            <w:tcW w:w="2021" w:type="pct"/>
            <w:tcBorders>
              <w:left w:val="single" w:sz="8" w:space="0" w:color="7BA0CD" w:themeColor="accent1" w:themeTint="BF"/>
              <w:right w:val="single" w:sz="8" w:space="0" w:color="7BA0CD" w:themeColor="accent1" w:themeTint="BF"/>
            </w:tcBorders>
            <w:vAlign w:val="center"/>
          </w:tcPr>
          <w:p w14:paraId="4D34D9E3" w14:textId="2C3C868D" w:rsidR="000C43BF" w:rsidRPr="004F20A7" w:rsidRDefault="006C38C7"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Ai</w:t>
            </w:r>
            <w:r>
              <w:t>rcr</w:t>
            </w:r>
            <w:r w:rsidRPr="007B4E83">
              <w:t>aft</w:t>
            </w:r>
            <w:r w:rsidR="000C43BF" w:rsidRPr="007B4E83">
              <w:t xml:space="preserve"> Powerplant Technology/Technician</w:t>
            </w:r>
          </w:p>
        </w:tc>
        <w:tc>
          <w:tcPr>
            <w:tcW w:w="470" w:type="pct"/>
            <w:tcBorders>
              <w:left w:val="single" w:sz="8" w:space="0" w:color="7BA0CD" w:themeColor="accent1" w:themeTint="BF"/>
              <w:right w:val="single" w:sz="8" w:space="0" w:color="7BA0CD" w:themeColor="accent1" w:themeTint="BF"/>
            </w:tcBorders>
            <w:vAlign w:val="center"/>
          </w:tcPr>
          <w:p w14:paraId="7F97C3EF" w14:textId="5DECB6F0"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950.20</w:t>
            </w:r>
          </w:p>
        </w:tc>
        <w:tc>
          <w:tcPr>
            <w:tcW w:w="1983" w:type="pct"/>
            <w:tcBorders>
              <w:left w:val="single" w:sz="8" w:space="0" w:color="7BA0CD" w:themeColor="accent1" w:themeTint="BF"/>
              <w:right w:val="single" w:sz="8" w:space="0" w:color="7BA0CD" w:themeColor="accent1" w:themeTint="BF"/>
            </w:tcBorders>
            <w:vAlign w:val="center"/>
          </w:tcPr>
          <w:p w14:paraId="7C44AC4B" w14:textId="06678CF3"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Aviation Powerplant Mechanics</w:t>
            </w:r>
          </w:p>
        </w:tc>
      </w:tr>
      <w:tr w:rsidR="000C43BF" w:rsidRPr="00A07E93" w14:paraId="3D786830"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606A473E" w14:textId="18C39FBB" w:rsidR="000C43BF" w:rsidRPr="004F20A7" w:rsidRDefault="000C43BF" w:rsidP="000C43BF">
            <w:pPr>
              <w:pStyle w:val="Tablenormalleft"/>
              <w:keepNext w:val="0"/>
              <w:widowControl w:val="0"/>
              <w:jc w:val="left"/>
              <w:rPr>
                <w:rFonts w:eastAsiaTheme="minorHAnsi"/>
                <w:szCs w:val="18"/>
              </w:rPr>
            </w:pPr>
            <w:r w:rsidRPr="00BF73A9">
              <w:t>47.0699</w:t>
            </w:r>
          </w:p>
        </w:tc>
        <w:tc>
          <w:tcPr>
            <w:tcW w:w="2021" w:type="pct"/>
            <w:tcBorders>
              <w:left w:val="single" w:sz="8" w:space="0" w:color="7BA0CD" w:themeColor="accent1" w:themeTint="BF"/>
              <w:right w:val="single" w:sz="8" w:space="0" w:color="7BA0CD" w:themeColor="accent1" w:themeTint="BF"/>
            </w:tcBorders>
            <w:vAlign w:val="center"/>
          </w:tcPr>
          <w:p w14:paraId="683C114E" w14:textId="1CCCE80C"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Vehicle Maintenance and Repair Technologies, Other</w:t>
            </w:r>
          </w:p>
        </w:tc>
        <w:tc>
          <w:tcPr>
            <w:tcW w:w="470" w:type="pct"/>
            <w:tcBorders>
              <w:left w:val="single" w:sz="8" w:space="0" w:color="7BA0CD" w:themeColor="accent1" w:themeTint="BF"/>
              <w:right w:val="single" w:sz="8" w:space="0" w:color="7BA0CD" w:themeColor="accent1" w:themeTint="BF"/>
            </w:tcBorders>
            <w:vAlign w:val="center"/>
          </w:tcPr>
          <w:p w14:paraId="6370B9DF" w14:textId="3684B56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948.00</w:t>
            </w:r>
          </w:p>
        </w:tc>
        <w:tc>
          <w:tcPr>
            <w:tcW w:w="1983" w:type="pct"/>
            <w:tcBorders>
              <w:left w:val="single" w:sz="8" w:space="0" w:color="7BA0CD" w:themeColor="accent1" w:themeTint="BF"/>
              <w:right w:val="single" w:sz="8" w:space="0" w:color="7BA0CD" w:themeColor="accent1" w:themeTint="BF"/>
            </w:tcBorders>
            <w:vAlign w:val="center"/>
          </w:tcPr>
          <w:p w14:paraId="7697865C" w14:textId="1FFD026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Automotive Technology</w:t>
            </w:r>
          </w:p>
        </w:tc>
      </w:tr>
      <w:tr w:rsidR="000C43BF" w:rsidRPr="00A07E93" w14:paraId="58818827"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F41D167" w14:textId="058640BB" w:rsidR="000C43BF" w:rsidRPr="004F20A7" w:rsidRDefault="000C43BF" w:rsidP="000C43BF">
            <w:pPr>
              <w:pStyle w:val="Tablenormalleft"/>
              <w:keepNext w:val="0"/>
              <w:widowControl w:val="0"/>
              <w:jc w:val="left"/>
              <w:rPr>
                <w:rFonts w:eastAsiaTheme="minorHAnsi"/>
                <w:szCs w:val="18"/>
              </w:rPr>
            </w:pPr>
            <w:r w:rsidRPr="00BF73A9">
              <w:t>48.0501</w:t>
            </w:r>
          </w:p>
        </w:tc>
        <w:tc>
          <w:tcPr>
            <w:tcW w:w="2021" w:type="pct"/>
            <w:tcBorders>
              <w:left w:val="single" w:sz="8" w:space="0" w:color="7BA0CD" w:themeColor="accent1" w:themeTint="BF"/>
              <w:right w:val="single" w:sz="8" w:space="0" w:color="7BA0CD" w:themeColor="accent1" w:themeTint="BF"/>
            </w:tcBorders>
            <w:vAlign w:val="center"/>
          </w:tcPr>
          <w:p w14:paraId="2B0B3FB3" w14:textId="13A020F8"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Machine Tool Technology/Machinist</w:t>
            </w:r>
          </w:p>
        </w:tc>
        <w:tc>
          <w:tcPr>
            <w:tcW w:w="470" w:type="pct"/>
            <w:tcBorders>
              <w:left w:val="single" w:sz="8" w:space="0" w:color="7BA0CD" w:themeColor="accent1" w:themeTint="BF"/>
              <w:right w:val="single" w:sz="8" w:space="0" w:color="7BA0CD" w:themeColor="accent1" w:themeTint="BF"/>
            </w:tcBorders>
            <w:vAlign w:val="center"/>
          </w:tcPr>
          <w:p w14:paraId="6997835A" w14:textId="06663C72"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956.30</w:t>
            </w:r>
          </w:p>
        </w:tc>
        <w:tc>
          <w:tcPr>
            <w:tcW w:w="1983" w:type="pct"/>
            <w:tcBorders>
              <w:left w:val="single" w:sz="8" w:space="0" w:color="7BA0CD" w:themeColor="accent1" w:themeTint="BF"/>
              <w:right w:val="single" w:sz="8" w:space="0" w:color="7BA0CD" w:themeColor="accent1" w:themeTint="BF"/>
            </w:tcBorders>
            <w:vAlign w:val="center"/>
          </w:tcPr>
          <w:p w14:paraId="7496FEEA" w14:textId="26CB8EC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Machining and Machine Tools</w:t>
            </w:r>
          </w:p>
        </w:tc>
      </w:tr>
      <w:tr w:rsidR="000C43BF" w:rsidRPr="00A07E93" w14:paraId="14EF6954"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C511B21" w14:textId="38E078FD" w:rsidR="000C43BF" w:rsidRPr="004F20A7" w:rsidRDefault="000C43BF" w:rsidP="000C43BF">
            <w:pPr>
              <w:pStyle w:val="Tablenormalleft"/>
              <w:keepNext w:val="0"/>
              <w:widowControl w:val="0"/>
              <w:jc w:val="left"/>
              <w:rPr>
                <w:rFonts w:eastAsiaTheme="minorHAnsi"/>
                <w:szCs w:val="18"/>
              </w:rPr>
            </w:pPr>
            <w:r w:rsidRPr="00BF73A9">
              <w:t>48.0508</w:t>
            </w:r>
          </w:p>
        </w:tc>
        <w:tc>
          <w:tcPr>
            <w:tcW w:w="2021" w:type="pct"/>
            <w:tcBorders>
              <w:left w:val="single" w:sz="8" w:space="0" w:color="7BA0CD" w:themeColor="accent1" w:themeTint="BF"/>
              <w:right w:val="single" w:sz="8" w:space="0" w:color="7BA0CD" w:themeColor="accent1" w:themeTint="BF"/>
            </w:tcBorders>
            <w:vAlign w:val="center"/>
          </w:tcPr>
          <w:p w14:paraId="4E8AAE75" w14:textId="6258E7D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Welding Technology/Welder</w:t>
            </w:r>
          </w:p>
        </w:tc>
        <w:tc>
          <w:tcPr>
            <w:tcW w:w="470" w:type="pct"/>
            <w:tcBorders>
              <w:left w:val="single" w:sz="8" w:space="0" w:color="7BA0CD" w:themeColor="accent1" w:themeTint="BF"/>
              <w:right w:val="single" w:sz="8" w:space="0" w:color="7BA0CD" w:themeColor="accent1" w:themeTint="BF"/>
            </w:tcBorders>
            <w:vAlign w:val="center"/>
          </w:tcPr>
          <w:p w14:paraId="3953A6E1" w14:textId="06122FD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956.50</w:t>
            </w:r>
          </w:p>
        </w:tc>
        <w:tc>
          <w:tcPr>
            <w:tcW w:w="1983" w:type="pct"/>
            <w:tcBorders>
              <w:left w:val="single" w:sz="8" w:space="0" w:color="7BA0CD" w:themeColor="accent1" w:themeTint="BF"/>
              <w:right w:val="single" w:sz="8" w:space="0" w:color="7BA0CD" w:themeColor="accent1" w:themeTint="BF"/>
            </w:tcBorders>
            <w:vAlign w:val="center"/>
          </w:tcPr>
          <w:p w14:paraId="5935E08D" w14:textId="61E40A43"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Welding Technology</w:t>
            </w:r>
          </w:p>
        </w:tc>
      </w:tr>
      <w:tr w:rsidR="000C43BF" w:rsidRPr="00A07E93" w14:paraId="442BE4B6"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FA87F1A" w14:textId="6D5FF20F" w:rsidR="000C43BF" w:rsidRPr="004F20A7" w:rsidRDefault="000C43BF" w:rsidP="000C43BF">
            <w:pPr>
              <w:pStyle w:val="Tablenormalleft"/>
              <w:keepNext w:val="0"/>
              <w:widowControl w:val="0"/>
              <w:jc w:val="left"/>
              <w:rPr>
                <w:rFonts w:eastAsiaTheme="minorHAnsi"/>
                <w:szCs w:val="18"/>
              </w:rPr>
            </w:pPr>
            <w:r w:rsidRPr="00BF73A9">
              <w:t>49.0104</w:t>
            </w:r>
          </w:p>
        </w:tc>
        <w:tc>
          <w:tcPr>
            <w:tcW w:w="2021" w:type="pct"/>
            <w:tcBorders>
              <w:left w:val="single" w:sz="8" w:space="0" w:color="7BA0CD" w:themeColor="accent1" w:themeTint="BF"/>
              <w:right w:val="single" w:sz="8" w:space="0" w:color="7BA0CD" w:themeColor="accent1" w:themeTint="BF"/>
            </w:tcBorders>
            <w:vAlign w:val="center"/>
          </w:tcPr>
          <w:p w14:paraId="3E20DC24" w14:textId="072B57DC"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Aviation/Airway Management and Operations</w:t>
            </w:r>
          </w:p>
        </w:tc>
        <w:tc>
          <w:tcPr>
            <w:tcW w:w="470" w:type="pct"/>
            <w:tcBorders>
              <w:left w:val="single" w:sz="8" w:space="0" w:color="7BA0CD" w:themeColor="accent1" w:themeTint="BF"/>
              <w:right w:val="single" w:sz="8" w:space="0" w:color="7BA0CD" w:themeColor="accent1" w:themeTint="BF"/>
            </w:tcBorders>
            <w:vAlign w:val="center"/>
          </w:tcPr>
          <w:p w14:paraId="0DAA26CD" w14:textId="0AAF6195"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3020.00</w:t>
            </w:r>
          </w:p>
        </w:tc>
        <w:tc>
          <w:tcPr>
            <w:tcW w:w="1983" w:type="pct"/>
            <w:tcBorders>
              <w:left w:val="single" w:sz="8" w:space="0" w:color="7BA0CD" w:themeColor="accent1" w:themeTint="BF"/>
              <w:right w:val="single" w:sz="8" w:space="0" w:color="7BA0CD" w:themeColor="accent1" w:themeTint="BF"/>
            </w:tcBorders>
            <w:vAlign w:val="center"/>
          </w:tcPr>
          <w:p w14:paraId="539F3228" w14:textId="65B0D191"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Aviation and Airport Management and Services</w:t>
            </w:r>
          </w:p>
        </w:tc>
      </w:tr>
      <w:tr w:rsidR="000C43BF" w:rsidRPr="00A07E93" w14:paraId="7ED53243"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62F1E0B3" w14:textId="750ED42C" w:rsidR="000C43BF" w:rsidRPr="004F20A7" w:rsidRDefault="000C43BF" w:rsidP="000C43BF">
            <w:pPr>
              <w:pStyle w:val="Tablenormalleft"/>
              <w:keepNext w:val="0"/>
              <w:widowControl w:val="0"/>
              <w:jc w:val="left"/>
              <w:rPr>
                <w:rFonts w:eastAsiaTheme="minorHAnsi"/>
                <w:szCs w:val="18"/>
              </w:rPr>
            </w:pPr>
            <w:r w:rsidRPr="00BF73A9">
              <w:t>50.0409</w:t>
            </w:r>
          </w:p>
        </w:tc>
        <w:tc>
          <w:tcPr>
            <w:tcW w:w="2021" w:type="pct"/>
            <w:tcBorders>
              <w:left w:val="single" w:sz="8" w:space="0" w:color="7BA0CD" w:themeColor="accent1" w:themeTint="BF"/>
              <w:right w:val="single" w:sz="8" w:space="0" w:color="7BA0CD" w:themeColor="accent1" w:themeTint="BF"/>
            </w:tcBorders>
            <w:vAlign w:val="center"/>
          </w:tcPr>
          <w:p w14:paraId="744610E9" w14:textId="4BA5253C"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Graphic Design</w:t>
            </w:r>
          </w:p>
        </w:tc>
        <w:tc>
          <w:tcPr>
            <w:tcW w:w="470" w:type="pct"/>
            <w:tcBorders>
              <w:left w:val="single" w:sz="8" w:space="0" w:color="7BA0CD" w:themeColor="accent1" w:themeTint="BF"/>
              <w:right w:val="single" w:sz="8" w:space="0" w:color="7BA0CD" w:themeColor="accent1" w:themeTint="BF"/>
            </w:tcBorders>
            <w:vAlign w:val="center"/>
          </w:tcPr>
          <w:p w14:paraId="3F03AB56" w14:textId="6D390F0C"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1030.00</w:t>
            </w:r>
          </w:p>
        </w:tc>
        <w:tc>
          <w:tcPr>
            <w:tcW w:w="1983" w:type="pct"/>
            <w:tcBorders>
              <w:left w:val="single" w:sz="8" w:space="0" w:color="7BA0CD" w:themeColor="accent1" w:themeTint="BF"/>
              <w:right w:val="single" w:sz="8" w:space="0" w:color="7BA0CD" w:themeColor="accent1" w:themeTint="BF"/>
            </w:tcBorders>
            <w:vAlign w:val="center"/>
          </w:tcPr>
          <w:p w14:paraId="0AD0E347" w14:textId="3556C14D"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Graphic Art and Design</w:t>
            </w:r>
          </w:p>
        </w:tc>
      </w:tr>
      <w:tr w:rsidR="000C43BF" w:rsidRPr="00A07E93" w14:paraId="2F3CB9D0"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53F63777" w14:textId="615ACA10" w:rsidR="000C43BF" w:rsidRPr="004F20A7" w:rsidRDefault="000C43BF" w:rsidP="000C43BF">
            <w:pPr>
              <w:pStyle w:val="Tablenormalleft"/>
              <w:keepNext w:val="0"/>
              <w:widowControl w:val="0"/>
              <w:jc w:val="left"/>
              <w:rPr>
                <w:rFonts w:eastAsiaTheme="minorHAnsi"/>
                <w:szCs w:val="18"/>
              </w:rPr>
            </w:pPr>
            <w:r w:rsidRPr="00BF73A9">
              <w:t>50.0708</w:t>
            </w:r>
          </w:p>
        </w:tc>
        <w:tc>
          <w:tcPr>
            <w:tcW w:w="2021" w:type="pct"/>
            <w:tcBorders>
              <w:left w:val="single" w:sz="8" w:space="0" w:color="7BA0CD" w:themeColor="accent1" w:themeTint="BF"/>
              <w:right w:val="single" w:sz="8" w:space="0" w:color="7BA0CD" w:themeColor="accent1" w:themeTint="BF"/>
            </w:tcBorders>
            <w:vAlign w:val="center"/>
          </w:tcPr>
          <w:p w14:paraId="27BAA520" w14:textId="1C7AC112"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Painting</w:t>
            </w:r>
          </w:p>
        </w:tc>
        <w:tc>
          <w:tcPr>
            <w:tcW w:w="470" w:type="pct"/>
            <w:tcBorders>
              <w:left w:val="single" w:sz="8" w:space="0" w:color="7BA0CD" w:themeColor="accent1" w:themeTint="BF"/>
              <w:right w:val="single" w:sz="8" w:space="0" w:color="7BA0CD" w:themeColor="accent1" w:themeTint="BF"/>
            </w:tcBorders>
            <w:vAlign w:val="center"/>
          </w:tcPr>
          <w:p w14:paraId="3E5D8EBF" w14:textId="7CBF2F77"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1002.00</w:t>
            </w:r>
          </w:p>
        </w:tc>
        <w:tc>
          <w:tcPr>
            <w:tcW w:w="1983" w:type="pct"/>
            <w:tcBorders>
              <w:left w:val="single" w:sz="8" w:space="0" w:color="7BA0CD" w:themeColor="accent1" w:themeTint="BF"/>
              <w:right w:val="single" w:sz="8" w:space="0" w:color="7BA0CD" w:themeColor="accent1" w:themeTint="BF"/>
            </w:tcBorders>
            <w:vAlign w:val="center"/>
          </w:tcPr>
          <w:p w14:paraId="263A123A" w14:textId="32841313"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Art (Painting, Drawing, and Sculpture)</w:t>
            </w:r>
          </w:p>
        </w:tc>
      </w:tr>
      <w:tr w:rsidR="000C43BF" w:rsidRPr="00A07E93" w14:paraId="297C4527"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7B119F5" w14:textId="650C0072" w:rsidR="000C43BF" w:rsidRPr="004F20A7" w:rsidRDefault="000C43BF" w:rsidP="000C43BF">
            <w:pPr>
              <w:pStyle w:val="Tablenormalleft"/>
              <w:keepNext w:val="0"/>
              <w:widowControl w:val="0"/>
              <w:jc w:val="left"/>
              <w:rPr>
                <w:rFonts w:eastAsiaTheme="minorHAnsi"/>
                <w:szCs w:val="18"/>
              </w:rPr>
            </w:pPr>
            <w:r w:rsidRPr="00BF73A9">
              <w:t>50.0709</w:t>
            </w:r>
          </w:p>
        </w:tc>
        <w:tc>
          <w:tcPr>
            <w:tcW w:w="2021" w:type="pct"/>
            <w:tcBorders>
              <w:left w:val="single" w:sz="8" w:space="0" w:color="7BA0CD" w:themeColor="accent1" w:themeTint="BF"/>
              <w:right w:val="single" w:sz="8" w:space="0" w:color="7BA0CD" w:themeColor="accent1" w:themeTint="BF"/>
            </w:tcBorders>
            <w:vAlign w:val="center"/>
          </w:tcPr>
          <w:p w14:paraId="703DAB16" w14:textId="358B17E9"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Sculpture</w:t>
            </w:r>
          </w:p>
        </w:tc>
        <w:tc>
          <w:tcPr>
            <w:tcW w:w="470" w:type="pct"/>
            <w:tcBorders>
              <w:left w:val="single" w:sz="8" w:space="0" w:color="7BA0CD" w:themeColor="accent1" w:themeTint="BF"/>
              <w:right w:val="single" w:sz="8" w:space="0" w:color="7BA0CD" w:themeColor="accent1" w:themeTint="BF"/>
            </w:tcBorders>
            <w:vAlign w:val="center"/>
          </w:tcPr>
          <w:p w14:paraId="08D95817" w14:textId="1A931BC3"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1002.20</w:t>
            </w:r>
          </w:p>
        </w:tc>
        <w:tc>
          <w:tcPr>
            <w:tcW w:w="1983" w:type="pct"/>
            <w:tcBorders>
              <w:left w:val="single" w:sz="8" w:space="0" w:color="7BA0CD" w:themeColor="accent1" w:themeTint="BF"/>
              <w:right w:val="single" w:sz="8" w:space="0" w:color="7BA0CD" w:themeColor="accent1" w:themeTint="BF"/>
            </w:tcBorders>
            <w:vAlign w:val="center"/>
          </w:tcPr>
          <w:p w14:paraId="15152FD1" w14:textId="5182B04F"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Sculpture</w:t>
            </w:r>
          </w:p>
        </w:tc>
      </w:tr>
      <w:tr w:rsidR="000C43BF" w:rsidRPr="00A07E93" w14:paraId="6559E6A6"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1F75B8BE" w14:textId="192CDEAB" w:rsidR="000C43BF" w:rsidRPr="004F20A7" w:rsidRDefault="000C43BF" w:rsidP="000C43BF">
            <w:pPr>
              <w:pStyle w:val="Tablenormalleft"/>
              <w:keepNext w:val="0"/>
              <w:widowControl w:val="0"/>
              <w:jc w:val="left"/>
              <w:rPr>
                <w:rFonts w:eastAsiaTheme="minorHAnsi"/>
                <w:szCs w:val="18"/>
              </w:rPr>
            </w:pPr>
            <w:r w:rsidRPr="00BF73A9">
              <w:t>50.0911</w:t>
            </w:r>
          </w:p>
        </w:tc>
        <w:tc>
          <w:tcPr>
            <w:tcW w:w="2021" w:type="pct"/>
            <w:tcBorders>
              <w:left w:val="single" w:sz="8" w:space="0" w:color="7BA0CD" w:themeColor="accent1" w:themeTint="BF"/>
              <w:right w:val="single" w:sz="8" w:space="0" w:color="7BA0CD" w:themeColor="accent1" w:themeTint="BF"/>
            </w:tcBorders>
            <w:vAlign w:val="center"/>
          </w:tcPr>
          <w:p w14:paraId="023D271F" w14:textId="72E4AAB2"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Stringed Instruments.</w:t>
            </w:r>
          </w:p>
        </w:tc>
        <w:tc>
          <w:tcPr>
            <w:tcW w:w="470" w:type="pct"/>
            <w:tcBorders>
              <w:left w:val="single" w:sz="8" w:space="0" w:color="7BA0CD" w:themeColor="accent1" w:themeTint="BF"/>
              <w:right w:val="single" w:sz="8" w:space="0" w:color="7BA0CD" w:themeColor="accent1" w:themeTint="BF"/>
            </w:tcBorders>
            <w:vAlign w:val="center"/>
          </w:tcPr>
          <w:p w14:paraId="7F12786B" w14:textId="6BF31B34"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1004.00</w:t>
            </w:r>
          </w:p>
        </w:tc>
        <w:tc>
          <w:tcPr>
            <w:tcW w:w="1983" w:type="pct"/>
            <w:tcBorders>
              <w:left w:val="single" w:sz="8" w:space="0" w:color="7BA0CD" w:themeColor="accent1" w:themeTint="BF"/>
              <w:right w:val="single" w:sz="8" w:space="0" w:color="7BA0CD" w:themeColor="accent1" w:themeTint="BF"/>
            </w:tcBorders>
            <w:vAlign w:val="center"/>
          </w:tcPr>
          <w:p w14:paraId="02A2AEDE" w14:textId="6730D7AD"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Music</w:t>
            </w:r>
          </w:p>
        </w:tc>
      </w:tr>
      <w:tr w:rsidR="000C43BF" w:rsidRPr="00A07E93" w14:paraId="68F772D5"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4F26118" w14:textId="2E65758C" w:rsidR="000C43BF" w:rsidRPr="004F20A7" w:rsidRDefault="000C43BF" w:rsidP="000C43BF">
            <w:pPr>
              <w:pStyle w:val="Tablenormalleft"/>
              <w:keepNext w:val="0"/>
              <w:widowControl w:val="0"/>
              <w:jc w:val="left"/>
              <w:rPr>
                <w:rFonts w:eastAsiaTheme="minorHAnsi"/>
                <w:szCs w:val="18"/>
              </w:rPr>
            </w:pPr>
            <w:r w:rsidRPr="00BF73A9">
              <w:t>51.0601</w:t>
            </w:r>
          </w:p>
        </w:tc>
        <w:tc>
          <w:tcPr>
            <w:tcW w:w="2021" w:type="pct"/>
            <w:tcBorders>
              <w:left w:val="single" w:sz="8" w:space="0" w:color="7BA0CD" w:themeColor="accent1" w:themeTint="BF"/>
              <w:right w:val="single" w:sz="8" w:space="0" w:color="7BA0CD" w:themeColor="accent1" w:themeTint="BF"/>
            </w:tcBorders>
            <w:vAlign w:val="center"/>
          </w:tcPr>
          <w:p w14:paraId="2183BA0D" w14:textId="359BD551"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Dental Assisting/Assistant</w:t>
            </w:r>
          </w:p>
        </w:tc>
        <w:tc>
          <w:tcPr>
            <w:tcW w:w="470" w:type="pct"/>
            <w:tcBorders>
              <w:left w:val="single" w:sz="8" w:space="0" w:color="7BA0CD" w:themeColor="accent1" w:themeTint="BF"/>
              <w:right w:val="single" w:sz="8" w:space="0" w:color="7BA0CD" w:themeColor="accent1" w:themeTint="BF"/>
            </w:tcBorders>
            <w:vAlign w:val="center"/>
          </w:tcPr>
          <w:p w14:paraId="55854084" w14:textId="3A77E349"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1240.10</w:t>
            </w:r>
          </w:p>
        </w:tc>
        <w:tc>
          <w:tcPr>
            <w:tcW w:w="1983" w:type="pct"/>
            <w:tcBorders>
              <w:left w:val="single" w:sz="8" w:space="0" w:color="7BA0CD" w:themeColor="accent1" w:themeTint="BF"/>
              <w:right w:val="single" w:sz="8" w:space="0" w:color="7BA0CD" w:themeColor="accent1" w:themeTint="BF"/>
            </w:tcBorders>
            <w:vAlign w:val="center"/>
          </w:tcPr>
          <w:p w14:paraId="7408DFD7" w14:textId="427617F7"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Dental Assistant</w:t>
            </w:r>
          </w:p>
        </w:tc>
      </w:tr>
      <w:tr w:rsidR="000C43BF" w:rsidRPr="00A07E93" w14:paraId="4B528D4B"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77FD465E" w14:textId="1C4F8190" w:rsidR="000C43BF" w:rsidRPr="004F20A7" w:rsidRDefault="000C43BF" w:rsidP="000C43BF">
            <w:pPr>
              <w:pStyle w:val="Tablenormalleft"/>
              <w:keepNext w:val="0"/>
              <w:widowControl w:val="0"/>
              <w:jc w:val="left"/>
              <w:rPr>
                <w:rFonts w:eastAsiaTheme="minorHAnsi"/>
                <w:szCs w:val="18"/>
              </w:rPr>
            </w:pPr>
            <w:r w:rsidRPr="00BF73A9">
              <w:t>51.0602</w:t>
            </w:r>
          </w:p>
        </w:tc>
        <w:tc>
          <w:tcPr>
            <w:tcW w:w="2021" w:type="pct"/>
            <w:tcBorders>
              <w:left w:val="single" w:sz="8" w:space="0" w:color="7BA0CD" w:themeColor="accent1" w:themeTint="BF"/>
              <w:right w:val="single" w:sz="8" w:space="0" w:color="7BA0CD" w:themeColor="accent1" w:themeTint="BF"/>
            </w:tcBorders>
            <w:vAlign w:val="center"/>
          </w:tcPr>
          <w:p w14:paraId="4A81810E" w14:textId="379085A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Dental Hygiene/Hygienist</w:t>
            </w:r>
          </w:p>
        </w:tc>
        <w:tc>
          <w:tcPr>
            <w:tcW w:w="470" w:type="pct"/>
            <w:tcBorders>
              <w:left w:val="single" w:sz="8" w:space="0" w:color="7BA0CD" w:themeColor="accent1" w:themeTint="BF"/>
              <w:right w:val="single" w:sz="8" w:space="0" w:color="7BA0CD" w:themeColor="accent1" w:themeTint="BF"/>
            </w:tcBorders>
            <w:vAlign w:val="center"/>
          </w:tcPr>
          <w:p w14:paraId="6540C821" w14:textId="6911B29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1240.20</w:t>
            </w:r>
          </w:p>
        </w:tc>
        <w:tc>
          <w:tcPr>
            <w:tcW w:w="1983" w:type="pct"/>
            <w:tcBorders>
              <w:left w:val="single" w:sz="8" w:space="0" w:color="7BA0CD" w:themeColor="accent1" w:themeTint="BF"/>
              <w:right w:val="single" w:sz="8" w:space="0" w:color="7BA0CD" w:themeColor="accent1" w:themeTint="BF"/>
            </w:tcBorders>
            <w:vAlign w:val="center"/>
          </w:tcPr>
          <w:p w14:paraId="014A9639" w14:textId="27114A16"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Dental Hygienist</w:t>
            </w:r>
          </w:p>
        </w:tc>
      </w:tr>
      <w:tr w:rsidR="000C43BF" w:rsidRPr="00A07E93" w14:paraId="35991099"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9035495" w14:textId="3BFCC696" w:rsidR="000C43BF" w:rsidRPr="004F20A7" w:rsidRDefault="000C43BF" w:rsidP="000C43BF">
            <w:pPr>
              <w:pStyle w:val="Tablenormalleft"/>
              <w:keepNext w:val="0"/>
              <w:widowControl w:val="0"/>
              <w:jc w:val="left"/>
              <w:rPr>
                <w:rFonts w:eastAsiaTheme="minorHAnsi"/>
                <w:szCs w:val="18"/>
              </w:rPr>
            </w:pPr>
            <w:r w:rsidRPr="00BF73A9">
              <w:t>51.0716</w:t>
            </w:r>
          </w:p>
        </w:tc>
        <w:tc>
          <w:tcPr>
            <w:tcW w:w="2021" w:type="pct"/>
            <w:tcBorders>
              <w:left w:val="single" w:sz="8" w:space="0" w:color="7BA0CD" w:themeColor="accent1" w:themeTint="BF"/>
              <w:right w:val="single" w:sz="8" w:space="0" w:color="7BA0CD" w:themeColor="accent1" w:themeTint="BF"/>
            </w:tcBorders>
            <w:vAlign w:val="center"/>
          </w:tcPr>
          <w:p w14:paraId="4FD0A5E7" w14:textId="2EC1C730"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Medical Administrative/Executive Assistant and Medical Secretary</w:t>
            </w:r>
          </w:p>
        </w:tc>
        <w:tc>
          <w:tcPr>
            <w:tcW w:w="470" w:type="pct"/>
            <w:tcBorders>
              <w:left w:val="single" w:sz="8" w:space="0" w:color="7BA0CD" w:themeColor="accent1" w:themeTint="BF"/>
              <w:right w:val="single" w:sz="8" w:space="0" w:color="7BA0CD" w:themeColor="accent1" w:themeTint="BF"/>
            </w:tcBorders>
            <w:vAlign w:val="center"/>
          </w:tcPr>
          <w:p w14:paraId="12797D97" w14:textId="77539ADF"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514.20</w:t>
            </w:r>
          </w:p>
        </w:tc>
        <w:tc>
          <w:tcPr>
            <w:tcW w:w="1983" w:type="pct"/>
            <w:tcBorders>
              <w:left w:val="single" w:sz="8" w:space="0" w:color="7BA0CD" w:themeColor="accent1" w:themeTint="BF"/>
              <w:right w:val="single" w:sz="8" w:space="0" w:color="7BA0CD" w:themeColor="accent1" w:themeTint="BF"/>
            </w:tcBorders>
            <w:vAlign w:val="center"/>
          </w:tcPr>
          <w:p w14:paraId="59D3C832" w14:textId="2F57AB13"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Medical Office Technology</w:t>
            </w:r>
          </w:p>
        </w:tc>
      </w:tr>
      <w:tr w:rsidR="000C43BF" w:rsidRPr="00A07E93" w14:paraId="1DDB94B2"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C1E8E21" w14:textId="254C1CBA" w:rsidR="000C43BF" w:rsidRPr="004F20A7" w:rsidRDefault="000C43BF" w:rsidP="000C43BF">
            <w:pPr>
              <w:pStyle w:val="Tablenormalleft"/>
              <w:keepNext w:val="0"/>
              <w:widowControl w:val="0"/>
              <w:jc w:val="left"/>
              <w:rPr>
                <w:rFonts w:eastAsiaTheme="minorHAnsi"/>
                <w:szCs w:val="18"/>
              </w:rPr>
            </w:pPr>
            <w:r w:rsidRPr="00BF73A9">
              <w:t>51.2601</w:t>
            </w:r>
          </w:p>
        </w:tc>
        <w:tc>
          <w:tcPr>
            <w:tcW w:w="2021" w:type="pct"/>
            <w:tcBorders>
              <w:left w:val="single" w:sz="8" w:space="0" w:color="7BA0CD" w:themeColor="accent1" w:themeTint="BF"/>
              <w:right w:val="single" w:sz="8" w:space="0" w:color="7BA0CD" w:themeColor="accent1" w:themeTint="BF"/>
            </w:tcBorders>
            <w:vAlign w:val="center"/>
          </w:tcPr>
          <w:p w14:paraId="4B3F6BF1" w14:textId="285FA6FF"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Health Aide</w:t>
            </w:r>
          </w:p>
        </w:tc>
        <w:tc>
          <w:tcPr>
            <w:tcW w:w="470" w:type="pct"/>
            <w:tcBorders>
              <w:left w:val="single" w:sz="8" w:space="0" w:color="7BA0CD" w:themeColor="accent1" w:themeTint="BF"/>
              <w:right w:val="single" w:sz="8" w:space="0" w:color="7BA0CD" w:themeColor="accent1" w:themeTint="BF"/>
            </w:tcBorders>
            <w:vAlign w:val="center"/>
          </w:tcPr>
          <w:p w14:paraId="5B1CE23A" w14:textId="3CB0EAF7"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1201.00</w:t>
            </w:r>
          </w:p>
        </w:tc>
        <w:tc>
          <w:tcPr>
            <w:tcW w:w="1983" w:type="pct"/>
            <w:tcBorders>
              <w:left w:val="single" w:sz="8" w:space="0" w:color="7BA0CD" w:themeColor="accent1" w:themeTint="BF"/>
              <w:right w:val="single" w:sz="8" w:space="0" w:color="7BA0CD" w:themeColor="accent1" w:themeTint="BF"/>
            </w:tcBorders>
            <w:vAlign w:val="center"/>
          </w:tcPr>
          <w:p w14:paraId="7E1FB790" w14:textId="3CAF161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Health Occupations, General</w:t>
            </w:r>
          </w:p>
        </w:tc>
      </w:tr>
      <w:tr w:rsidR="000C43BF" w:rsidRPr="00A07E93" w14:paraId="48ED80F9"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0BE4209F" w14:textId="60560FA1" w:rsidR="000C43BF" w:rsidRPr="004F20A7" w:rsidRDefault="000C43BF" w:rsidP="000C43BF">
            <w:pPr>
              <w:pStyle w:val="Tablenormalleft"/>
              <w:keepNext w:val="0"/>
              <w:widowControl w:val="0"/>
              <w:jc w:val="left"/>
              <w:rPr>
                <w:rFonts w:eastAsiaTheme="minorHAnsi"/>
                <w:szCs w:val="18"/>
              </w:rPr>
            </w:pPr>
            <w:r w:rsidRPr="00BF73A9">
              <w:t>51.3801</w:t>
            </w:r>
          </w:p>
        </w:tc>
        <w:tc>
          <w:tcPr>
            <w:tcW w:w="2021" w:type="pct"/>
            <w:tcBorders>
              <w:left w:val="single" w:sz="8" w:space="0" w:color="7BA0CD" w:themeColor="accent1" w:themeTint="BF"/>
              <w:right w:val="single" w:sz="8" w:space="0" w:color="7BA0CD" w:themeColor="accent1" w:themeTint="BF"/>
            </w:tcBorders>
            <w:vAlign w:val="center"/>
          </w:tcPr>
          <w:p w14:paraId="49C430D4" w14:textId="3727145F"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Registered Nursing/Registered Nurse</w:t>
            </w:r>
          </w:p>
        </w:tc>
        <w:tc>
          <w:tcPr>
            <w:tcW w:w="470" w:type="pct"/>
            <w:tcBorders>
              <w:left w:val="single" w:sz="8" w:space="0" w:color="7BA0CD" w:themeColor="accent1" w:themeTint="BF"/>
              <w:right w:val="single" w:sz="8" w:space="0" w:color="7BA0CD" w:themeColor="accent1" w:themeTint="BF"/>
            </w:tcBorders>
            <w:vAlign w:val="center"/>
          </w:tcPr>
          <w:p w14:paraId="06921048" w14:textId="3B46B8D8"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1230.00</w:t>
            </w:r>
          </w:p>
        </w:tc>
        <w:tc>
          <w:tcPr>
            <w:tcW w:w="1983" w:type="pct"/>
            <w:tcBorders>
              <w:left w:val="single" w:sz="8" w:space="0" w:color="7BA0CD" w:themeColor="accent1" w:themeTint="BF"/>
              <w:right w:val="single" w:sz="8" w:space="0" w:color="7BA0CD" w:themeColor="accent1" w:themeTint="BF"/>
            </w:tcBorders>
            <w:vAlign w:val="center"/>
          </w:tcPr>
          <w:p w14:paraId="2C8756C6" w14:textId="38AD5E73"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Nursing</w:t>
            </w:r>
          </w:p>
        </w:tc>
      </w:tr>
      <w:tr w:rsidR="000C43BF" w:rsidRPr="00A07E93" w14:paraId="59F8FA20"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5A79AE91" w14:textId="5204044A" w:rsidR="000C43BF" w:rsidRPr="004F20A7" w:rsidRDefault="000C43BF" w:rsidP="000C43BF">
            <w:pPr>
              <w:pStyle w:val="Tablenormalleft"/>
              <w:keepNext w:val="0"/>
              <w:widowControl w:val="0"/>
              <w:jc w:val="left"/>
              <w:rPr>
                <w:rFonts w:eastAsiaTheme="minorHAnsi"/>
                <w:szCs w:val="18"/>
              </w:rPr>
            </w:pPr>
            <w:r w:rsidRPr="00BF73A9">
              <w:t>51.3901</w:t>
            </w:r>
          </w:p>
        </w:tc>
        <w:tc>
          <w:tcPr>
            <w:tcW w:w="2021" w:type="pct"/>
            <w:tcBorders>
              <w:left w:val="single" w:sz="8" w:space="0" w:color="7BA0CD" w:themeColor="accent1" w:themeTint="BF"/>
              <w:right w:val="single" w:sz="8" w:space="0" w:color="7BA0CD" w:themeColor="accent1" w:themeTint="BF"/>
            </w:tcBorders>
            <w:vAlign w:val="center"/>
          </w:tcPr>
          <w:p w14:paraId="092ACFEA" w14:textId="09C261BD"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Licensed Practical/Vocational Nurse Training</w:t>
            </w:r>
          </w:p>
        </w:tc>
        <w:tc>
          <w:tcPr>
            <w:tcW w:w="470" w:type="pct"/>
            <w:tcBorders>
              <w:left w:val="single" w:sz="8" w:space="0" w:color="7BA0CD" w:themeColor="accent1" w:themeTint="BF"/>
              <w:right w:val="single" w:sz="8" w:space="0" w:color="7BA0CD" w:themeColor="accent1" w:themeTint="BF"/>
            </w:tcBorders>
            <w:vAlign w:val="center"/>
          </w:tcPr>
          <w:p w14:paraId="4A76F250" w14:textId="0CEB8B9E"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1230.20</w:t>
            </w:r>
          </w:p>
        </w:tc>
        <w:tc>
          <w:tcPr>
            <w:tcW w:w="1983" w:type="pct"/>
            <w:tcBorders>
              <w:left w:val="single" w:sz="8" w:space="0" w:color="7BA0CD" w:themeColor="accent1" w:themeTint="BF"/>
              <w:right w:val="single" w:sz="8" w:space="0" w:color="7BA0CD" w:themeColor="accent1" w:themeTint="BF"/>
            </w:tcBorders>
            <w:vAlign w:val="center"/>
          </w:tcPr>
          <w:p w14:paraId="503ACAA4" w14:textId="1CE9A96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Licensed Vocational Nursing</w:t>
            </w:r>
          </w:p>
        </w:tc>
      </w:tr>
      <w:tr w:rsidR="000C43BF" w:rsidRPr="00A07E93" w14:paraId="05A23956"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FA09297" w14:textId="5BD7795F" w:rsidR="000C43BF" w:rsidRPr="004F20A7" w:rsidRDefault="000C43BF" w:rsidP="000C43BF">
            <w:pPr>
              <w:pStyle w:val="Tablenormalleft"/>
              <w:keepNext w:val="0"/>
              <w:widowControl w:val="0"/>
              <w:jc w:val="left"/>
              <w:rPr>
                <w:rFonts w:eastAsiaTheme="minorHAnsi"/>
                <w:szCs w:val="18"/>
              </w:rPr>
            </w:pPr>
            <w:r w:rsidRPr="00BF73A9">
              <w:t>52.0101</w:t>
            </w:r>
          </w:p>
        </w:tc>
        <w:tc>
          <w:tcPr>
            <w:tcW w:w="2021" w:type="pct"/>
            <w:tcBorders>
              <w:left w:val="single" w:sz="8" w:space="0" w:color="7BA0CD" w:themeColor="accent1" w:themeTint="BF"/>
              <w:right w:val="single" w:sz="8" w:space="0" w:color="7BA0CD" w:themeColor="accent1" w:themeTint="BF"/>
            </w:tcBorders>
            <w:vAlign w:val="center"/>
          </w:tcPr>
          <w:p w14:paraId="0E247317" w14:textId="1089B793"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Business/</w:t>
            </w:r>
            <w:r w:rsidR="006C38C7" w:rsidRPr="007B4E83">
              <w:t>Comme</w:t>
            </w:r>
            <w:r w:rsidR="006C38C7">
              <w:t>nce</w:t>
            </w:r>
            <w:r w:rsidRPr="007B4E83">
              <w:t>, General</w:t>
            </w:r>
          </w:p>
        </w:tc>
        <w:tc>
          <w:tcPr>
            <w:tcW w:w="470" w:type="pct"/>
            <w:tcBorders>
              <w:left w:val="single" w:sz="8" w:space="0" w:color="7BA0CD" w:themeColor="accent1" w:themeTint="BF"/>
              <w:right w:val="single" w:sz="8" w:space="0" w:color="7BA0CD" w:themeColor="accent1" w:themeTint="BF"/>
            </w:tcBorders>
            <w:vAlign w:val="center"/>
          </w:tcPr>
          <w:p w14:paraId="275FF0BB" w14:textId="7DAB75B3"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501.00</w:t>
            </w:r>
          </w:p>
        </w:tc>
        <w:tc>
          <w:tcPr>
            <w:tcW w:w="1983" w:type="pct"/>
            <w:tcBorders>
              <w:left w:val="single" w:sz="8" w:space="0" w:color="7BA0CD" w:themeColor="accent1" w:themeTint="BF"/>
              <w:right w:val="single" w:sz="8" w:space="0" w:color="7BA0CD" w:themeColor="accent1" w:themeTint="BF"/>
            </w:tcBorders>
            <w:vAlign w:val="center"/>
          </w:tcPr>
          <w:p w14:paraId="26A2F254" w14:textId="43F27C31"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 xml:space="preserve">Business and </w:t>
            </w:r>
            <w:r w:rsidR="006C38C7" w:rsidRPr="006124BB">
              <w:t>Comme</w:t>
            </w:r>
            <w:r w:rsidR="006C38C7">
              <w:t>nce</w:t>
            </w:r>
            <w:r w:rsidRPr="006124BB">
              <w:t>, General</w:t>
            </w:r>
          </w:p>
        </w:tc>
      </w:tr>
      <w:tr w:rsidR="000C43BF" w:rsidRPr="00A07E93" w14:paraId="6C9917C9"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3B7E4114" w14:textId="75869603" w:rsidR="000C43BF" w:rsidRPr="004F20A7" w:rsidRDefault="000C43BF" w:rsidP="000C43BF">
            <w:pPr>
              <w:pStyle w:val="Tablenormalleft"/>
              <w:keepNext w:val="0"/>
              <w:widowControl w:val="0"/>
              <w:jc w:val="left"/>
              <w:rPr>
                <w:rFonts w:eastAsiaTheme="minorHAnsi"/>
                <w:szCs w:val="18"/>
              </w:rPr>
            </w:pPr>
            <w:r w:rsidRPr="00BF73A9">
              <w:t>52.0201</w:t>
            </w:r>
          </w:p>
        </w:tc>
        <w:tc>
          <w:tcPr>
            <w:tcW w:w="2021" w:type="pct"/>
            <w:tcBorders>
              <w:left w:val="single" w:sz="8" w:space="0" w:color="7BA0CD" w:themeColor="accent1" w:themeTint="BF"/>
              <w:right w:val="single" w:sz="8" w:space="0" w:color="7BA0CD" w:themeColor="accent1" w:themeTint="BF"/>
            </w:tcBorders>
            <w:vAlign w:val="center"/>
          </w:tcPr>
          <w:p w14:paraId="759375E0" w14:textId="75074FF6"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Business Administration and Management, General</w:t>
            </w:r>
          </w:p>
        </w:tc>
        <w:tc>
          <w:tcPr>
            <w:tcW w:w="470" w:type="pct"/>
            <w:tcBorders>
              <w:left w:val="single" w:sz="8" w:space="0" w:color="7BA0CD" w:themeColor="accent1" w:themeTint="BF"/>
              <w:right w:val="single" w:sz="8" w:space="0" w:color="7BA0CD" w:themeColor="accent1" w:themeTint="BF"/>
            </w:tcBorders>
            <w:vAlign w:val="center"/>
          </w:tcPr>
          <w:p w14:paraId="351E1BDF" w14:textId="1CEA84AC"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505.00</w:t>
            </w:r>
          </w:p>
        </w:tc>
        <w:tc>
          <w:tcPr>
            <w:tcW w:w="1983" w:type="pct"/>
            <w:tcBorders>
              <w:left w:val="single" w:sz="8" w:space="0" w:color="7BA0CD" w:themeColor="accent1" w:themeTint="BF"/>
              <w:right w:val="single" w:sz="8" w:space="0" w:color="7BA0CD" w:themeColor="accent1" w:themeTint="BF"/>
            </w:tcBorders>
            <w:vAlign w:val="center"/>
          </w:tcPr>
          <w:p w14:paraId="5F1FF979" w14:textId="05E497EF"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Business Administration</w:t>
            </w:r>
          </w:p>
        </w:tc>
      </w:tr>
      <w:tr w:rsidR="000C43BF" w:rsidRPr="00A07E93" w14:paraId="3AED71D9"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8326EC2" w14:textId="7B87DB37" w:rsidR="000C43BF" w:rsidRPr="004F20A7" w:rsidRDefault="000C43BF" w:rsidP="000C43BF">
            <w:pPr>
              <w:pStyle w:val="Tablenormalleft"/>
              <w:keepNext w:val="0"/>
              <w:widowControl w:val="0"/>
              <w:jc w:val="left"/>
              <w:rPr>
                <w:rFonts w:eastAsiaTheme="minorHAnsi"/>
                <w:szCs w:val="18"/>
              </w:rPr>
            </w:pPr>
            <w:r w:rsidRPr="00BF73A9">
              <w:lastRenderedPageBreak/>
              <w:t>52.0299</w:t>
            </w:r>
          </w:p>
        </w:tc>
        <w:tc>
          <w:tcPr>
            <w:tcW w:w="2021" w:type="pct"/>
            <w:tcBorders>
              <w:left w:val="single" w:sz="8" w:space="0" w:color="7BA0CD" w:themeColor="accent1" w:themeTint="BF"/>
              <w:right w:val="single" w:sz="8" w:space="0" w:color="7BA0CD" w:themeColor="accent1" w:themeTint="BF"/>
            </w:tcBorders>
            <w:vAlign w:val="center"/>
          </w:tcPr>
          <w:p w14:paraId="51CFE22A" w14:textId="1BF004DC"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Business Administration, Management and Operations, Other</w:t>
            </w:r>
          </w:p>
        </w:tc>
        <w:tc>
          <w:tcPr>
            <w:tcW w:w="470" w:type="pct"/>
            <w:tcBorders>
              <w:left w:val="single" w:sz="8" w:space="0" w:color="7BA0CD" w:themeColor="accent1" w:themeTint="BF"/>
              <w:right w:val="single" w:sz="8" w:space="0" w:color="7BA0CD" w:themeColor="accent1" w:themeTint="BF"/>
            </w:tcBorders>
            <w:vAlign w:val="center"/>
          </w:tcPr>
          <w:p w14:paraId="2F244F5C" w14:textId="3C6E1CD6"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505.00</w:t>
            </w:r>
          </w:p>
        </w:tc>
        <w:tc>
          <w:tcPr>
            <w:tcW w:w="1983" w:type="pct"/>
            <w:tcBorders>
              <w:left w:val="single" w:sz="8" w:space="0" w:color="7BA0CD" w:themeColor="accent1" w:themeTint="BF"/>
              <w:right w:val="single" w:sz="8" w:space="0" w:color="7BA0CD" w:themeColor="accent1" w:themeTint="BF"/>
            </w:tcBorders>
            <w:vAlign w:val="center"/>
          </w:tcPr>
          <w:p w14:paraId="1F0537B1" w14:textId="437FA2F1"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Business Administration</w:t>
            </w:r>
          </w:p>
        </w:tc>
      </w:tr>
      <w:tr w:rsidR="000C43BF" w:rsidRPr="00A07E93" w14:paraId="04A0C235"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2356334" w14:textId="459ED52C" w:rsidR="000C43BF" w:rsidRPr="004F20A7" w:rsidRDefault="000C43BF" w:rsidP="000C43BF">
            <w:pPr>
              <w:pStyle w:val="Tablenormalleft"/>
              <w:keepNext w:val="0"/>
              <w:widowControl w:val="0"/>
              <w:jc w:val="left"/>
              <w:rPr>
                <w:rFonts w:eastAsiaTheme="minorHAnsi"/>
                <w:szCs w:val="18"/>
              </w:rPr>
            </w:pPr>
            <w:r w:rsidRPr="00BF73A9">
              <w:t>52.0301</w:t>
            </w:r>
          </w:p>
        </w:tc>
        <w:tc>
          <w:tcPr>
            <w:tcW w:w="2021" w:type="pct"/>
            <w:tcBorders>
              <w:left w:val="single" w:sz="8" w:space="0" w:color="7BA0CD" w:themeColor="accent1" w:themeTint="BF"/>
              <w:right w:val="single" w:sz="8" w:space="0" w:color="7BA0CD" w:themeColor="accent1" w:themeTint="BF"/>
            </w:tcBorders>
            <w:vAlign w:val="center"/>
          </w:tcPr>
          <w:p w14:paraId="152BA5C6" w14:textId="5FD88519"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Accounting</w:t>
            </w:r>
          </w:p>
        </w:tc>
        <w:tc>
          <w:tcPr>
            <w:tcW w:w="470" w:type="pct"/>
            <w:tcBorders>
              <w:left w:val="single" w:sz="8" w:space="0" w:color="7BA0CD" w:themeColor="accent1" w:themeTint="BF"/>
              <w:right w:val="single" w:sz="8" w:space="0" w:color="7BA0CD" w:themeColor="accent1" w:themeTint="BF"/>
            </w:tcBorders>
            <w:vAlign w:val="center"/>
          </w:tcPr>
          <w:p w14:paraId="46835547" w14:textId="5A5F63FB"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502.00</w:t>
            </w:r>
          </w:p>
        </w:tc>
        <w:tc>
          <w:tcPr>
            <w:tcW w:w="1983" w:type="pct"/>
            <w:tcBorders>
              <w:left w:val="single" w:sz="8" w:space="0" w:color="7BA0CD" w:themeColor="accent1" w:themeTint="BF"/>
              <w:right w:val="single" w:sz="8" w:space="0" w:color="7BA0CD" w:themeColor="accent1" w:themeTint="BF"/>
            </w:tcBorders>
            <w:vAlign w:val="center"/>
          </w:tcPr>
          <w:p w14:paraId="376B4F0C" w14:textId="374536A6"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Accounting</w:t>
            </w:r>
          </w:p>
        </w:tc>
      </w:tr>
      <w:tr w:rsidR="000C43BF" w:rsidRPr="00A07E93" w14:paraId="68F8E48B"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26472C72" w14:textId="2C7FD43F" w:rsidR="000C43BF" w:rsidRPr="004F20A7" w:rsidRDefault="000C43BF" w:rsidP="000C43BF">
            <w:pPr>
              <w:pStyle w:val="Tablenormalleft"/>
              <w:keepNext w:val="0"/>
              <w:widowControl w:val="0"/>
              <w:jc w:val="left"/>
              <w:rPr>
                <w:rFonts w:eastAsiaTheme="minorHAnsi"/>
                <w:szCs w:val="18"/>
              </w:rPr>
            </w:pPr>
            <w:r w:rsidRPr="00BF73A9">
              <w:t>52.0302</w:t>
            </w:r>
          </w:p>
        </w:tc>
        <w:tc>
          <w:tcPr>
            <w:tcW w:w="2021" w:type="pct"/>
            <w:tcBorders>
              <w:left w:val="single" w:sz="8" w:space="0" w:color="7BA0CD" w:themeColor="accent1" w:themeTint="BF"/>
              <w:right w:val="single" w:sz="8" w:space="0" w:color="7BA0CD" w:themeColor="accent1" w:themeTint="BF"/>
            </w:tcBorders>
            <w:vAlign w:val="center"/>
          </w:tcPr>
          <w:p w14:paraId="1380C5F1" w14:textId="3D9CAD09"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Accounting Technology/Technician and Bookkeeping</w:t>
            </w:r>
          </w:p>
        </w:tc>
        <w:tc>
          <w:tcPr>
            <w:tcW w:w="470" w:type="pct"/>
            <w:tcBorders>
              <w:left w:val="single" w:sz="8" w:space="0" w:color="7BA0CD" w:themeColor="accent1" w:themeTint="BF"/>
              <w:right w:val="single" w:sz="8" w:space="0" w:color="7BA0CD" w:themeColor="accent1" w:themeTint="BF"/>
            </w:tcBorders>
            <w:vAlign w:val="center"/>
          </w:tcPr>
          <w:p w14:paraId="4E366EB0" w14:textId="5587C3EE"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502.00</w:t>
            </w:r>
          </w:p>
        </w:tc>
        <w:tc>
          <w:tcPr>
            <w:tcW w:w="1983" w:type="pct"/>
            <w:tcBorders>
              <w:left w:val="single" w:sz="8" w:space="0" w:color="7BA0CD" w:themeColor="accent1" w:themeTint="BF"/>
              <w:right w:val="single" w:sz="8" w:space="0" w:color="7BA0CD" w:themeColor="accent1" w:themeTint="BF"/>
            </w:tcBorders>
            <w:vAlign w:val="center"/>
          </w:tcPr>
          <w:p w14:paraId="1941425D" w14:textId="0E2772ED"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Accounting</w:t>
            </w:r>
          </w:p>
        </w:tc>
      </w:tr>
      <w:tr w:rsidR="000C43BF" w:rsidRPr="00A07E93" w14:paraId="74B0E39D"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2F648EED" w14:textId="3CC8CB1F" w:rsidR="000C43BF" w:rsidRPr="004F20A7" w:rsidRDefault="000C43BF" w:rsidP="000C43BF">
            <w:pPr>
              <w:pStyle w:val="Tablenormalleft"/>
              <w:keepNext w:val="0"/>
              <w:widowControl w:val="0"/>
              <w:jc w:val="left"/>
              <w:rPr>
                <w:rFonts w:eastAsiaTheme="minorHAnsi"/>
                <w:szCs w:val="18"/>
              </w:rPr>
            </w:pPr>
            <w:r w:rsidRPr="00BF73A9">
              <w:t>52.0401</w:t>
            </w:r>
          </w:p>
        </w:tc>
        <w:tc>
          <w:tcPr>
            <w:tcW w:w="2021" w:type="pct"/>
            <w:tcBorders>
              <w:left w:val="single" w:sz="8" w:space="0" w:color="7BA0CD" w:themeColor="accent1" w:themeTint="BF"/>
              <w:right w:val="single" w:sz="8" w:space="0" w:color="7BA0CD" w:themeColor="accent1" w:themeTint="BF"/>
            </w:tcBorders>
            <w:vAlign w:val="center"/>
          </w:tcPr>
          <w:p w14:paraId="3FCBD930" w14:textId="28C208C5"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7B4E83">
              <w:t>Administrative Assistant and Secretarial Science, General</w:t>
            </w:r>
          </w:p>
        </w:tc>
        <w:tc>
          <w:tcPr>
            <w:tcW w:w="470" w:type="pct"/>
            <w:tcBorders>
              <w:left w:val="single" w:sz="8" w:space="0" w:color="7BA0CD" w:themeColor="accent1" w:themeTint="BF"/>
              <w:right w:val="single" w:sz="8" w:space="0" w:color="7BA0CD" w:themeColor="accent1" w:themeTint="BF"/>
            </w:tcBorders>
            <w:vAlign w:val="center"/>
          </w:tcPr>
          <w:p w14:paraId="0A57DE08" w14:textId="6D2A1F20"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514.00</w:t>
            </w:r>
          </w:p>
        </w:tc>
        <w:tc>
          <w:tcPr>
            <w:tcW w:w="1983" w:type="pct"/>
            <w:tcBorders>
              <w:left w:val="single" w:sz="8" w:space="0" w:color="7BA0CD" w:themeColor="accent1" w:themeTint="BF"/>
              <w:right w:val="single" w:sz="8" w:space="0" w:color="7BA0CD" w:themeColor="accent1" w:themeTint="BF"/>
            </w:tcBorders>
            <w:vAlign w:val="center"/>
          </w:tcPr>
          <w:p w14:paraId="67ED9958" w14:textId="01E64D5B" w:rsidR="000C43BF" w:rsidRPr="004F20A7"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rFonts w:eastAsiaTheme="minorHAnsi"/>
                <w:szCs w:val="18"/>
              </w:rPr>
            </w:pPr>
            <w:r w:rsidRPr="006124BB">
              <w:t>Office Technology/Office Computer Applications</w:t>
            </w:r>
          </w:p>
        </w:tc>
      </w:tr>
      <w:tr w:rsidR="000C43BF" w:rsidRPr="00A07E93" w14:paraId="1CF6D569" w14:textId="77777777" w:rsidTr="000C43BF">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4118FA7E" w14:textId="7702AF26" w:rsidR="000C43BF" w:rsidRPr="004F20A7" w:rsidRDefault="000C43BF" w:rsidP="000C43BF">
            <w:pPr>
              <w:pStyle w:val="Tablenormalleft"/>
              <w:keepNext w:val="0"/>
              <w:widowControl w:val="0"/>
              <w:jc w:val="left"/>
              <w:rPr>
                <w:rFonts w:eastAsiaTheme="minorHAnsi"/>
                <w:szCs w:val="18"/>
              </w:rPr>
            </w:pPr>
            <w:r w:rsidRPr="00BF73A9">
              <w:t>52.0408</w:t>
            </w:r>
          </w:p>
        </w:tc>
        <w:tc>
          <w:tcPr>
            <w:tcW w:w="2021" w:type="pct"/>
            <w:tcBorders>
              <w:left w:val="single" w:sz="8" w:space="0" w:color="7BA0CD" w:themeColor="accent1" w:themeTint="BF"/>
              <w:right w:val="single" w:sz="8" w:space="0" w:color="7BA0CD" w:themeColor="accent1" w:themeTint="BF"/>
            </w:tcBorders>
            <w:vAlign w:val="center"/>
          </w:tcPr>
          <w:p w14:paraId="764E825F" w14:textId="7868BA27"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7B4E83">
              <w:t>General Office Occupations and Clerical Services</w:t>
            </w:r>
          </w:p>
        </w:tc>
        <w:tc>
          <w:tcPr>
            <w:tcW w:w="470" w:type="pct"/>
            <w:tcBorders>
              <w:left w:val="single" w:sz="8" w:space="0" w:color="7BA0CD" w:themeColor="accent1" w:themeTint="BF"/>
              <w:right w:val="single" w:sz="8" w:space="0" w:color="7BA0CD" w:themeColor="accent1" w:themeTint="BF"/>
            </w:tcBorders>
            <w:vAlign w:val="center"/>
          </w:tcPr>
          <w:p w14:paraId="3CEC651B" w14:textId="55839C89"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w:t>
            </w:r>
          </w:p>
        </w:tc>
        <w:tc>
          <w:tcPr>
            <w:tcW w:w="1983" w:type="pct"/>
            <w:tcBorders>
              <w:left w:val="single" w:sz="8" w:space="0" w:color="7BA0CD" w:themeColor="accent1" w:themeTint="BF"/>
              <w:right w:val="single" w:sz="8" w:space="0" w:color="7BA0CD" w:themeColor="accent1" w:themeTint="BF"/>
            </w:tcBorders>
            <w:vAlign w:val="center"/>
          </w:tcPr>
          <w:p w14:paraId="53EF9A8B" w14:textId="1F53D284" w:rsidR="000C43BF" w:rsidRPr="004F20A7" w:rsidRDefault="000C43BF" w:rsidP="000C43BF">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rFonts w:eastAsiaTheme="minorHAnsi"/>
                <w:szCs w:val="18"/>
              </w:rPr>
            </w:pPr>
            <w:r w:rsidRPr="006124BB">
              <w:t>General Office Occupations and Clerical Services</w:t>
            </w:r>
          </w:p>
        </w:tc>
      </w:tr>
      <w:tr w:rsidR="000C43BF" w:rsidRPr="00A07E93" w14:paraId="3E05AB2A" w14:textId="77777777" w:rsidTr="000C43B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6" w:type="pct"/>
            <w:tcBorders>
              <w:right w:val="single" w:sz="8" w:space="0" w:color="7BA0CD" w:themeColor="accent1" w:themeTint="BF"/>
            </w:tcBorders>
            <w:vAlign w:val="center"/>
          </w:tcPr>
          <w:p w14:paraId="2B7A99AC" w14:textId="554E7B4D" w:rsidR="000C43BF" w:rsidRPr="00BF73A9" w:rsidRDefault="000C43BF" w:rsidP="000C43BF">
            <w:pPr>
              <w:pStyle w:val="Tablenormalleft"/>
              <w:keepNext w:val="0"/>
              <w:widowControl w:val="0"/>
              <w:jc w:val="left"/>
            </w:pPr>
            <w:r w:rsidRPr="000C43BF">
              <w:t>52.0703</w:t>
            </w:r>
          </w:p>
        </w:tc>
        <w:tc>
          <w:tcPr>
            <w:tcW w:w="2021" w:type="pct"/>
            <w:tcBorders>
              <w:left w:val="single" w:sz="8" w:space="0" w:color="7BA0CD" w:themeColor="accent1" w:themeTint="BF"/>
              <w:right w:val="single" w:sz="8" w:space="0" w:color="7BA0CD" w:themeColor="accent1" w:themeTint="BF"/>
            </w:tcBorders>
            <w:vAlign w:val="center"/>
          </w:tcPr>
          <w:p w14:paraId="1966169B" w14:textId="64BA6918" w:rsidR="000C43BF" w:rsidRPr="00E83EEE"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7B4E83">
              <w:t>Small Business Administration/Management</w:t>
            </w:r>
          </w:p>
        </w:tc>
        <w:tc>
          <w:tcPr>
            <w:tcW w:w="470" w:type="pct"/>
            <w:tcBorders>
              <w:left w:val="single" w:sz="8" w:space="0" w:color="7BA0CD" w:themeColor="accent1" w:themeTint="BF"/>
              <w:right w:val="single" w:sz="8" w:space="0" w:color="7BA0CD" w:themeColor="accent1" w:themeTint="BF"/>
            </w:tcBorders>
            <w:vAlign w:val="center"/>
          </w:tcPr>
          <w:p w14:paraId="7C7DF7D8" w14:textId="6DBFD35D" w:rsidR="000C43BF" w:rsidRPr="00E83EEE"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6124BB">
              <w:t>506.40</w:t>
            </w:r>
          </w:p>
        </w:tc>
        <w:tc>
          <w:tcPr>
            <w:tcW w:w="1983" w:type="pct"/>
            <w:tcBorders>
              <w:left w:val="single" w:sz="8" w:space="0" w:color="7BA0CD" w:themeColor="accent1" w:themeTint="BF"/>
              <w:right w:val="single" w:sz="8" w:space="0" w:color="7BA0CD" w:themeColor="accent1" w:themeTint="BF"/>
            </w:tcBorders>
            <w:vAlign w:val="center"/>
          </w:tcPr>
          <w:p w14:paraId="079A1AE0" w14:textId="731C8693" w:rsidR="000C43BF" w:rsidRPr="00E83EEE" w:rsidRDefault="000C43BF" w:rsidP="000C43BF">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6124BB">
              <w:t>Small Business and Entrepreneurship</w:t>
            </w:r>
          </w:p>
        </w:tc>
      </w:tr>
    </w:tbl>
    <w:p w14:paraId="17A9158B" w14:textId="77777777" w:rsidR="00641562" w:rsidRDefault="00641562" w:rsidP="00641562">
      <w:pPr>
        <w:spacing w:before="0" w:after="200" w:line="276" w:lineRule="auto"/>
        <w:rPr>
          <w:rFonts w:asciiTheme="minorHAnsi" w:hAnsiTheme="minorHAnsi" w:cstheme="minorHAnsi"/>
          <w:sz w:val="22"/>
          <w:szCs w:val="22"/>
        </w:rPr>
      </w:pPr>
    </w:p>
    <w:p w14:paraId="4CAC345C" w14:textId="77777777" w:rsidR="00641562" w:rsidRDefault="00641562" w:rsidP="00641562">
      <w:pPr>
        <w:pStyle w:val="Heading1"/>
      </w:pPr>
      <w:bookmarkStart w:id="28" w:name="_Toc428785423"/>
      <w:bookmarkStart w:id="29" w:name="_Toc338346632"/>
      <w:r>
        <w:lastRenderedPageBreak/>
        <w:t xml:space="preserve">Appendix 3: </w:t>
      </w:r>
      <w:r w:rsidRPr="0072192A">
        <w:t xml:space="preserve">Program Gap </w:t>
      </w:r>
      <w:r w:rsidRPr="00BA0412">
        <w:t>Analysis</w:t>
      </w:r>
      <w:r>
        <w:t xml:space="preserve"> Methodology</w:t>
      </w:r>
      <w:bookmarkEnd w:id="28"/>
    </w:p>
    <w:p w14:paraId="0561967A" w14:textId="66821C24" w:rsidR="00641562" w:rsidRPr="002F3355" w:rsidRDefault="00641562" w:rsidP="00641562">
      <w:r>
        <w:t>Th</w:t>
      </w:r>
      <w:r w:rsidR="003D499E">
        <w:t>is appendix</w:t>
      </w:r>
      <w:r>
        <w:t xml:space="preserve"> focuses on describing and understanding the methodology used in the program gap analysis. This r</w:t>
      </w:r>
      <w:r w:rsidRPr="002F3355">
        <w:t xml:space="preserve">equires data on both occupation demand (e.g., annual job openings) and education </w:t>
      </w:r>
      <w:r>
        <w:t>supply</w:t>
      </w:r>
      <w:r w:rsidRPr="002F3355">
        <w:t xml:space="preserve"> (e.g., number of </w:t>
      </w:r>
      <w:r>
        <w:t>postsecondary</w:t>
      </w:r>
      <w:r w:rsidRPr="002F3355">
        <w:t xml:space="preserve"> degree completions). </w:t>
      </w:r>
      <w:r>
        <w:t>These are</w:t>
      </w:r>
      <w:r w:rsidRPr="002F3355">
        <w:t xml:space="preserve"> then compare</w:t>
      </w:r>
      <w:r>
        <w:t>d</w:t>
      </w:r>
      <w:r w:rsidRPr="002F3355">
        <w:t xml:space="preserve"> through an education “gap” analysis to determine whether an</w:t>
      </w:r>
      <w:r>
        <w:t xml:space="preserve"> education program</w:t>
      </w:r>
      <w:r w:rsidRPr="002F3355">
        <w:t xml:space="preserve"> is potentially </w:t>
      </w:r>
      <w:r>
        <w:t>producing</w:t>
      </w:r>
      <w:r w:rsidRPr="002F3355">
        <w:t xml:space="preserve"> a surplus or shortage of </w:t>
      </w:r>
      <w:r w:rsidR="006C38C7">
        <w:t>workforce</w:t>
      </w:r>
      <w:r>
        <w:t xml:space="preserve"> talent</w:t>
      </w:r>
      <w:r w:rsidRPr="002F3355">
        <w:t xml:space="preserve"> relative</w:t>
      </w:r>
      <w:r>
        <w:t xml:space="preserve"> to the number of job openings. In this way, it is possible to see how the institution’s current programs are satisfying regional </w:t>
      </w:r>
      <w:r w:rsidR="006C38C7">
        <w:t>workforce</w:t>
      </w:r>
      <w:r>
        <w:t xml:space="preserve"> needs.</w:t>
      </w:r>
    </w:p>
    <w:p w14:paraId="0BD66CC3" w14:textId="77777777" w:rsidR="00641562" w:rsidRDefault="00641562" w:rsidP="00641562">
      <w:pPr>
        <w:pStyle w:val="Heading2"/>
      </w:pPr>
      <w:bookmarkStart w:id="30" w:name="_Toc428785424"/>
      <w:bookmarkStart w:id="31" w:name="_Toc333477508"/>
      <w:r>
        <w:t>Supply and Demand Model</w:t>
      </w:r>
      <w:bookmarkEnd w:id="30"/>
    </w:p>
    <w:p w14:paraId="3C172F49" w14:textId="7D88D7F7" w:rsidR="00641562" w:rsidRPr="000401F3" w:rsidRDefault="00CF4D11" w:rsidP="00641562">
      <w:r>
        <w:t>EMSI builds</w:t>
      </w:r>
      <w:r w:rsidRPr="000401F3">
        <w:t xml:space="preserve"> a model</w:t>
      </w:r>
      <w:r>
        <w:t xml:space="preserve"> u</w:t>
      </w:r>
      <w:r w:rsidR="00641562">
        <w:t>sing</w:t>
      </w:r>
      <w:r w:rsidR="00641562" w:rsidRPr="000401F3">
        <w:t xml:space="preserve"> demand-side data (average annual openings) and supply-side data (postsecondary educat</w:t>
      </w:r>
      <w:r>
        <w:t>ion output)</w:t>
      </w:r>
      <w:r w:rsidR="00641562">
        <w:t xml:space="preserve"> </w:t>
      </w:r>
      <w:r w:rsidR="00641562" w:rsidRPr="000401F3">
        <w:t xml:space="preserve">to compare </w:t>
      </w:r>
      <w:r w:rsidR="006C38C7" w:rsidRPr="000401F3">
        <w:t>workfo</w:t>
      </w:r>
      <w:r w:rsidR="006C38C7">
        <w:t>rce</w:t>
      </w:r>
      <w:r w:rsidR="00641562" w:rsidRPr="000401F3">
        <w:t xml:space="preserve"> demand with education supply. The purpose of </w:t>
      </w:r>
      <w:r w:rsidR="00641562">
        <w:t xml:space="preserve">this analysis is </w:t>
      </w:r>
      <w:r w:rsidR="00641562" w:rsidRPr="000401F3">
        <w:t xml:space="preserve">to find the difference or “gap” between the average annual openings for an occupation and the number of people completing postsecondary degrees for that occupation, whether at </w:t>
      </w:r>
      <w:r w:rsidR="006C38C7">
        <w:t>CCC</w:t>
      </w:r>
      <w:r w:rsidR="00641562" w:rsidRPr="000401F3">
        <w:t xml:space="preserve"> or at another training provider within one of the regions. This ma</w:t>
      </w:r>
      <w:r w:rsidR="006007DA">
        <w:t>k</w:t>
      </w:r>
      <w:r w:rsidR="00641562" w:rsidRPr="000401F3">
        <w:t>e</w:t>
      </w:r>
      <w:r w:rsidR="006007DA">
        <w:t>s</w:t>
      </w:r>
      <w:r w:rsidR="00641562" w:rsidRPr="000401F3">
        <w:t xml:space="preserve"> it possible to identify whether there </w:t>
      </w:r>
      <w:r w:rsidR="00641562">
        <w:t>may be</w:t>
      </w:r>
      <w:r w:rsidR="00641562" w:rsidRPr="000401F3">
        <w:t xml:space="preserve"> talent shortages or surpluses </w:t>
      </w:r>
      <w:r w:rsidR="00641562">
        <w:t xml:space="preserve">within the </w:t>
      </w:r>
      <w:r w:rsidR="00B101E7">
        <w:t>Economic Region</w:t>
      </w:r>
      <w:r w:rsidR="00641562" w:rsidRPr="000401F3">
        <w:t>.</w:t>
      </w:r>
    </w:p>
    <w:p w14:paraId="607DD112" w14:textId="1AA59EFB" w:rsidR="00641562" w:rsidRPr="000401F3" w:rsidRDefault="00641562" w:rsidP="00641562">
      <w:r w:rsidRPr="000401F3">
        <w:t>The first step involve</w:t>
      </w:r>
      <w:r w:rsidR="00EF7B82">
        <w:t>s</w:t>
      </w:r>
      <w:r w:rsidRPr="000401F3">
        <w:t xml:space="preserve"> mapping the linkage between annual openings for a SOC code and the number of completions for an education program CIP code. The BLS provides information on the occupations that completers of specific CIP codes are more likely to enter</w:t>
      </w:r>
      <w:r>
        <w:t>.</w:t>
      </w:r>
      <w:r w:rsidRPr="000401F3">
        <w:t xml:space="preserve"> </w:t>
      </w:r>
      <w:r>
        <w:t xml:space="preserve">Specific connections have been </w:t>
      </w:r>
      <w:r>
        <w:lastRenderedPageBreak/>
        <w:t>refined through previous engagements with education institutions and state departments of labor</w:t>
      </w:r>
      <w:r w:rsidRPr="000401F3">
        <w:t xml:space="preserve">. Some programs have direct occupational ties. For example, a physical therapist assistant is a specific occupation that requires specialized </w:t>
      </w:r>
      <w:r>
        <w:t>postsecondary</w:t>
      </w:r>
      <w:r w:rsidRPr="000401F3">
        <w:t xml:space="preserve"> training. In this case, one CIP code (physical therapy technician/assistant) maps to only one SOC code (physical therapists assistants). This provides an easy comparison of annual openings for physical therapist assistants to the number of people completing the relevant program to see whether a talent shortage or surplus exists.</w:t>
      </w:r>
      <w:r>
        <w:t xml:space="preserve"> Unfortunately, this is not always the case. More often than not an educational program maps to multiple occupations and an occupation maps to multiple educational programs. For this reason, EMSI has pioneered a method of de-duplicating completers, such that the potential </w:t>
      </w:r>
      <w:r w:rsidR="006C38C7">
        <w:t>sources</w:t>
      </w:r>
      <w:r>
        <w:t xml:space="preserve"> of supply are not double-counted for any occupation. The details of this process are outlined in this chapter, under “De-duplication of Annual Openings.”</w:t>
      </w:r>
    </w:p>
    <w:p w14:paraId="55CA794D" w14:textId="77777777" w:rsidR="00641562" w:rsidRDefault="00641562" w:rsidP="00641562">
      <w:pPr>
        <w:pStyle w:val="Heading2"/>
      </w:pPr>
      <w:bookmarkStart w:id="32" w:name="_Toc428785425"/>
      <w:r w:rsidRPr="0072192A">
        <w:t>Occupation Demand</w:t>
      </w:r>
      <w:bookmarkEnd w:id="31"/>
      <w:bookmarkEnd w:id="32"/>
    </w:p>
    <w:p w14:paraId="539C700A" w14:textId="77777777" w:rsidR="00641562" w:rsidRPr="00BA7CAE" w:rsidRDefault="00641562" w:rsidP="00641562">
      <w:pPr>
        <w:pStyle w:val="Heading3"/>
      </w:pPr>
      <w:bookmarkStart w:id="33" w:name="_Toc428785426"/>
      <w:r>
        <w:t>Educational Level Adjustments</w:t>
      </w:r>
      <w:bookmarkEnd w:id="33"/>
    </w:p>
    <w:p w14:paraId="33830D25" w14:textId="64855E6E" w:rsidR="00641562" w:rsidRDefault="00641562" w:rsidP="00641562">
      <w:r>
        <w:t>T</w:t>
      </w:r>
      <w:r w:rsidRPr="00F532CB">
        <w:t xml:space="preserve">o capture occupation demand, EMSI </w:t>
      </w:r>
      <w:r>
        <w:t xml:space="preserve">uses a proprietary </w:t>
      </w:r>
      <w:r w:rsidRPr="00F532CB">
        <w:t>employment data</w:t>
      </w:r>
      <w:r>
        <w:t>set that reflects total employment (i.e., employment covered by unemployment insurance as well as proprietor employment). The employment data reflects jobs</w:t>
      </w:r>
      <w:r w:rsidRPr="00F532CB">
        <w:t xml:space="preserve"> for </w:t>
      </w:r>
      <w:r w:rsidRPr="00D21238">
        <w:t xml:space="preserve">the </w:t>
      </w:r>
      <w:r w:rsidR="004F7D7D">
        <w:t>third</w:t>
      </w:r>
      <w:r w:rsidRPr="00D21238">
        <w:t xml:space="preserve"> quarter of 2014.</w:t>
      </w:r>
      <w:r>
        <w:t xml:space="preserve"> Within this dataset, EMSI </w:t>
      </w:r>
      <w:r w:rsidRPr="00F532CB">
        <w:t>calculate</w:t>
      </w:r>
      <w:r w:rsidR="00EF7B82">
        <w:t>s</w:t>
      </w:r>
      <w:r w:rsidRPr="00F532CB">
        <w:t xml:space="preserve"> the number of regional annual job openings for the occupations that require </w:t>
      </w:r>
      <w:r>
        <w:t>two different levels of postsecondary</w:t>
      </w:r>
      <w:r w:rsidRPr="00F532CB">
        <w:t xml:space="preserve"> training.</w:t>
      </w:r>
      <w:r w:rsidRPr="00F532CB">
        <w:rPr>
          <w:vertAlign w:val="superscript"/>
        </w:rPr>
        <w:footnoteReference w:id="8"/>
      </w:r>
      <w:bookmarkStart w:id="34" w:name="_Toc333477509"/>
      <w:r>
        <w:t xml:space="preserve"> </w:t>
      </w:r>
      <w:r w:rsidRPr="00673EEA">
        <w:t xml:space="preserve">The BLS also provides educational attainment data of current workers for each SOC code, broken out by their highest level of education attained. The data is presented as the </w:t>
      </w:r>
      <w:r w:rsidR="006C38C7" w:rsidRPr="00673EEA">
        <w:t>pe</w:t>
      </w:r>
      <w:r w:rsidR="006C38C7">
        <w:t>rce</w:t>
      </w:r>
      <w:r w:rsidR="006C38C7" w:rsidRPr="00673EEA">
        <w:t>ntage</w:t>
      </w:r>
      <w:r w:rsidRPr="00673EEA">
        <w:t xml:space="preserve"> of workers in the SOC code with educational attainment ranging from less than a high school degree to an associate’s degree. Using these data, EMSI adjusted the annual opening estimates for each SOC code to only incorporate the </w:t>
      </w:r>
      <w:r w:rsidR="006C38C7" w:rsidRPr="00673EEA">
        <w:t>pe</w:t>
      </w:r>
      <w:r w:rsidR="006C38C7">
        <w:t>rce</w:t>
      </w:r>
      <w:r w:rsidR="006C38C7" w:rsidRPr="00673EEA">
        <w:t>ntage</w:t>
      </w:r>
      <w:r w:rsidRPr="00673EEA">
        <w:t xml:space="preserve"> of workers </w:t>
      </w:r>
      <w:r>
        <w:t xml:space="preserve">for three different educational levels that correspond with </w:t>
      </w:r>
      <w:r w:rsidR="006C38C7">
        <w:t>CCC</w:t>
      </w:r>
      <w:r>
        <w:t xml:space="preserve">’s program offerings. </w:t>
      </w:r>
    </w:p>
    <w:p w14:paraId="459C124B" w14:textId="7F53947E" w:rsidR="00641562" w:rsidRDefault="005F4E2C" w:rsidP="00641562">
      <w:r>
        <w:lastRenderedPageBreak/>
        <w:t>For example, as shown in Table A3.1</w:t>
      </w:r>
      <w:r w:rsidR="00641562">
        <w:t xml:space="preserve">, there are three occupations trained for by Corrections (CIP code 43.0102). Within that cluster are an assortment of career fields, including correctional officers and jailers, first-line supervisors of police and detectives, and first-line supervisors of correctional officers. Among correctional officers, the majority of job openings (75%) are available to somebody with “some college” or a postsecondary vocational award. Alternatively, for first-line supervisors of police and detectives, only 46% of job openings are </w:t>
      </w:r>
      <w:r w:rsidR="00D30516">
        <w:t>acc</w:t>
      </w:r>
      <w:r w:rsidR="00641562">
        <w:t xml:space="preserve">essible to a person without a college degree. The weighted average of job openings is calculated for each program at each program/degree level where </w:t>
      </w:r>
      <w:r w:rsidR="006C38C7">
        <w:t>CCC</w:t>
      </w:r>
      <w:r w:rsidR="00641562">
        <w:t xml:space="preserve"> has produced completers over the past three years. Not taking into </w:t>
      </w:r>
      <w:r w:rsidR="00095A90">
        <w:t>a</w:t>
      </w:r>
      <w:r w:rsidR="005715BC">
        <w:t>ccount</w:t>
      </w:r>
      <w:r w:rsidR="00641562">
        <w:t xml:space="preserve"> the educational attainment dynamics in this way would bias the result by over-counting potential job opportunities for completers.</w:t>
      </w:r>
      <w:r w:rsidR="00641562">
        <w:rPr>
          <w:rStyle w:val="FootnoteReference"/>
          <w:rFonts w:asciiTheme="minorHAnsi" w:hAnsiTheme="minorHAnsi" w:cstheme="minorHAnsi"/>
          <w:sz w:val="22"/>
          <w:szCs w:val="22"/>
        </w:rPr>
        <w:footnoteReference w:id="9"/>
      </w:r>
      <w:r w:rsidR="00641562" w:rsidRPr="00673EEA">
        <w:t xml:space="preserve"> </w:t>
      </w:r>
    </w:p>
    <w:p w14:paraId="0F769686" w14:textId="77777777" w:rsidR="00641562" w:rsidRDefault="00641562" w:rsidP="003966E8">
      <w:pPr>
        <w:pStyle w:val="Tabletitle"/>
      </w:pPr>
      <w:r>
        <w:t>Table A3.1</w:t>
      </w:r>
      <w:r w:rsidRPr="00231780">
        <w:t xml:space="preserve">: </w:t>
      </w:r>
      <w:r>
        <w:t>Educational Level Adjustments</w:t>
      </w:r>
    </w:p>
    <w:tbl>
      <w:tblPr>
        <w:tblStyle w:val="MediumShading1-Accent1"/>
        <w:tblW w:w="9378" w:type="dxa"/>
        <w:tblLayout w:type="fixed"/>
        <w:tblLook w:val="04A0" w:firstRow="1" w:lastRow="0" w:firstColumn="1" w:lastColumn="0" w:noHBand="0" w:noVBand="1"/>
      </w:tblPr>
      <w:tblGrid>
        <w:gridCol w:w="918"/>
        <w:gridCol w:w="1710"/>
        <w:gridCol w:w="990"/>
        <w:gridCol w:w="2250"/>
        <w:gridCol w:w="1755"/>
        <w:gridCol w:w="1755"/>
      </w:tblGrid>
      <w:tr w:rsidR="00641562" w:rsidRPr="0088105B" w14:paraId="0DB23E04" w14:textId="77777777" w:rsidTr="0088105B">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918" w:type="dxa"/>
            <w:tcBorders>
              <w:right w:val="single" w:sz="8" w:space="0" w:color="7BA0CD" w:themeColor="accent1" w:themeTint="BF"/>
            </w:tcBorders>
            <w:vAlign w:val="center"/>
          </w:tcPr>
          <w:p w14:paraId="05AFC916" w14:textId="77777777" w:rsidR="00641562" w:rsidRPr="0088105B" w:rsidRDefault="00641562" w:rsidP="00C87021">
            <w:pPr>
              <w:pStyle w:val="Tableheaderleft"/>
              <w:jc w:val="center"/>
              <w:rPr>
                <w:b/>
              </w:rPr>
            </w:pPr>
            <w:r w:rsidRPr="0088105B">
              <w:rPr>
                <w:b/>
              </w:rPr>
              <w:t>CIP Code</w:t>
            </w:r>
          </w:p>
        </w:tc>
        <w:tc>
          <w:tcPr>
            <w:tcW w:w="1710" w:type="dxa"/>
            <w:tcBorders>
              <w:left w:val="single" w:sz="8" w:space="0" w:color="7BA0CD" w:themeColor="accent1" w:themeTint="BF"/>
              <w:right w:val="single" w:sz="8" w:space="0" w:color="7BA0CD" w:themeColor="accent1" w:themeTint="BF"/>
            </w:tcBorders>
            <w:vAlign w:val="center"/>
          </w:tcPr>
          <w:p w14:paraId="43C1FA21" w14:textId="77777777" w:rsidR="00641562" w:rsidRPr="0088105B" w:rsidRDefault="00641562" w:rsidP="00C87021">
            <w:pPr>
              <w:pStyle w:val="Tableheaderleft"/>
              <w:jc w:val="center"/>
              <w:cnfStyle w:val="100000000000" w:firstRow="1" w:lastRow="0" w:firstColumn="0" w:lastColumn="0" w:oddVBand="0" w:evenVBand="0" w:oddHBand="0" w:evenHBand="0" w:firstRowFirstColumn="0" w:firstRowLastColumn="0" w:lastRowFirstColumn="0" w:lastRowLastColumn="0"/>
              <w:rPr>
                <w:b/>
              </w:rPr>
            </w:pPr>
            <w:r w:rsidRPr="0088105B">
              <w:rPr>
                <w:b/>
              </w:rPr>
              <w:t>CIP Title</w:t>
            </w:r>
          </w:p>
        </w:tc>
        <w:tc>
          <w:tcPr>
            <w:tcW w:w="990" w:type="dxa"/>
            <w:tcBorders>
              <w:left w:val="single" w:sz="8" w:space="0" w:color="7BA0CD" w:themeColor="accent1" w:themeTint="BF"/>
              <w:right w:val="single" w:sz="8" w:space="0" w:color="7BA0CD" w:themeColor="accent1" w:themeTint="BF"/>
            </w:tcBorders>
            <w:vAlign w:val="center"/>
          </w:tcPr>
          <w:p w14:paraId="03A5931E" w14:textId="77777777" w:rsidR="00641562" w:rsidRPr="0088105B" w:rsidRDefault="00641562" w:rsidP="00C87021">
            <w:pPr>
              <w:pStyle w:val="Tableheaderleft"/>
              <w:jc w:val="center"/>
              <w:cnfStyle w:val="100000000000" w:firstRow="1" w:lastRow="0" w:firstColumn="0" w:lastColumn="0" w:oddVBand="0" w:evenVBand="0" w:oddHBand="0" w:evenHBand="0" w:firstRowFirstColumn="0" w:firstRowLastColumn="0" w:lastRowFirstColumn="0" w:lastRowLastColumn="0"/>
              <w:rPr>
                <w:b/>
              </w:rPr>
            </w:pPr>
            <w:r w:rsidRPr="0088105B">
              <w:rPr>
                <w:b/>
              </w:rPr>
              <w:t>SOC</w:t>
            </w:r>
          </w:p>
        </w:tc>
        <w:tc>
          <w:tcPr>
            <w:tcW w:w="2250" w:type="dxa"/>
            <w:tcBorders>
              <w:left w:val="single" w:sz="8" w:space="0" w:color="7BA0CD" w:themeColor="accent1" w:themeTint="BF"/>
              <w:right w:val="single" w:sz="8" w:space="0" w:color="7BA0CD" w:themeColor="accent1" w:themeTint="BF"/>
            </w:tcBorders>
            <w:vAlign w:val="center"/>
          </w:tcPr>
          <w:p w14:paraId="0209922F" w14:textId="77777777" w:rsidR="00641562" w:rsidRPr="0088105B" w:rsidRDefault="00641562" w:rsidP="00C87021">
            <w:pPr>
              <w:pStyle w:val="Tableheaderleft"/>
              <w:jc w:val="center"/>
              <w:cnfStyle w:val="100000000000" w:firstRow="1" w:lastRow="0" w:firstColumn="0" w:lastColumn="0" w:oddVBand="0" w:evenVBand="0" w:oddHBand="0" w:evenHBand="0" w:firstRowFirstColumn="0" w:firstRowLastColumn="0" w:lastRowFirstColumn="0" w:lastRowLastColumn="0"/>
              <w:rPr>
                <w:b/>
              </w:rPr>
            </w:pPr>
            <w:r w:rsidRPr="0088105B">
              <w:rPr>
                <w:b/>
              </w:rPr>
              <w:t>Title</w:t>
            </w:r>
          </w:p>
        </w:tc>
        <w:tc>
          <w:tcPr>
            <w:tcW w:w="1755" w:type="dxa"/>
            <w:tcBorders>
              <w:left w:val="single" w:sz="8" w:space="0" w:color="7BA0CD" w:themeColor="accent1" w:themeTint="BF"/>
              <w:right w:val="single" w:sz="8" w:space="0" w:color="7BA0CD" w:themeColor="accent1" w:themeTint="BF"/>
            </w:tcBorders>
            <w:vAlign w:val="center"/>
          </w:tcPr>
          <w:p w14:paraId="4439D5F6" w14:textId="77777777" w:rsidR="00641562" w:rsidRPr="0088105B" w:rsidRDefault="00641562" w:rsidP="00243EC6">
            <w:pPr>
              <w:pStyle w:val="Tableheadercenter"/>
              <w:cnfStyle w:val="100000000000" w:firstRow="1" w:lastRow="0" w:firstColumn="0" w:lastColumn="0" w:oddVBand="0" w:evenVBand="0" w:oddHBand="0" w:evenHBand="0" w:firstRowFirstColumn="0" w:firstRowLastColumn="0" w:lastRowFirstColumn="0" w:lastRowLastColumn="0"/>
              <w:rPr>
                <w:b/>
              </w:rPr>
            </w:pPr>
            <w:r w:rsidRPr="0088105B">
              <w:rPr>
                <w:b/>
              </w:rPr>
              <w:t>“Some College, No Degree” or Postsecondary Award or Lower</w:t>
            </w:r>
          </w:p>
        </w:tc>
        <w:tc>
          <w:tcPr>
            <w:tcW w:w="1755" w:type="dxa"/>
            <w:tcBorders>
              <w:left w:val="single" w:sz="8" w:space="0" w:color="7BA0CD" w:themeColor="accent1" w:themeTint="BF"/>
            </w:tcBorders>
            <w:vAlign w:val="center"/>
          </w:tcPr>
          <w:p w14:paraId="79D223BF" w14:textId="77777777" w:rsidR="00641562" w:rsidRPr="0088105B" w:rsidRDefault="00641562" w:rsidP="00243EC6">
            <w:pPr>
              <w:pStyle w:val="Tableheadercenter"/>
              <w:cnfStyle w:val="100000000000" w:firstRow="1" w:lastRow="0" w:firstColumn="0" w:lastColumn="0" w:oddVBand="0" w:evenVBand="0" w:oddHBand="0" w:evenHBand="0" w:firstRowFirstColumn="0" w:firstRowLastColumn="0" w:lastRowFirstColumn="0" w:lastRowLastColumn="0"/>
              <w:rPr>
                <w:b/>
              </w:rPr>
            </w:pPr>
            <w:r w:rsidRPr="0088105B">
              <w:rPr>
                <w:b/>
              </w:rPr>
              <w:t>Associate’s Degree or Lower</w:t>
            </w:r>
          </w:p>
        </w:tc>
      </w:tr>
      <w:tr w:rsidR="00641562" w:rsidRPr="00736A9C" w14:paraId="4BC9122B" w14:textId="77777777" w:rsidTr="0088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right w:val="single" w:sz="8" w:space="0" w:color="7BA0CD" w:themeColor="accent1" w:themeTint="BF"/>
            </w:tcBorders>
            <w:vAlign w:val="center"/>
          </w:tcPr>
          <w:p w14:paraId="0A01DB06" w14:textId="77777777" w:rsidR="00641562" w:rsidRPr="00736A9C" w:rsidRDefault="00641562" w:rsidP="006A4240">
            <w:pPr>
              <w:pStyle w:val="Tablenormalleft"/>
              <w:jc w:val="left"/>
            </w:pPr>
            <w:r w:rsidRPr="00736A9C">
              <w:t>43.0102</w:t>
            </w:r>
          </w:p>
        </w:tc>
        <w:tc>
          <w:tcPr>
            <w:tcW w:w="1710" w:type="dxa"/>
            <w:tcBorders>
              <w:left w:val="single" w:sz="8" w:space="0" w:color="7BA0CD" w:themeColor="accent1" w:themeTint="BF"/>
              <w:right w:val="single" w:sz="8" w:space="0" w:color="7BA0CD" w:themeColor="accent1" w:themeTint="BF"/>
            </w:tcBorders>
            <w:vAlign w:val="center"/>
          </w:tcPr>
          <w:p w14:paraId="043C382B" w14:textId="77777777" w:rsidR="00641562" w:rsidRPr="00736A9C" w:rsidRDefault="00641562" w:rsidP="006A4240">
            <w:pPr>
              <w:pStyle w:val="Tablenormalleft"/>
              <w:jc w:val="left"/>
              <w:cnfStyle w:val="000000100000" w:firstRow="0" w:lastRow="0" w:firstColumn="0" w:lastColumn="0" w:oddVBand="0" w:evenVBand="0" w:oddHBand="1" w:evenHBand="0" w:firstRowFirstColumn="0" w:firstRowLastColumn="0" w:lastRowFirstColumn="0" w:lastRowLastColumn="0"/>
            </w:pPr>
            <w:r w:rsidRPr="00736A9C">
              <w:t>Corrections</w:t>
            </w:r>
          </w:p>
        </w:tc>
        <w:tc>
          <w:tcPr>
            <w:tcW w:w="990" w:type="dxa"/>
            <w:tcBorders>
              <w:left w:val="single" w:sz="8" w:space="0" w:color="7BA0CD" w:themeColor="accent1" w:themeTint="BF"/>
              <w:right w:val="single" w:sz="8" w:space="0" w:color="7BA0CD" w:themeColor="accent1" w:themeTint="BF"/>
            </w:tcBorders>
            <w:vAlign w:val="center"/>
          </w:tcPr>
          <w:p w14:paraId="15438BF0" w14:textId="77777777" w:rsidR="00641562" w:rsidRPr="00736A9C" w:rsidRDefault="00641562" w:rsidP="006A4240">
            <w:pPr>
              <w:pStyle w:val="Tablenormalleft"/>
              <w:jc w:val="left"/>
              <w:cnfStyle w:val="000000100000" w:firstRow="0" w:lastRow="0" w:firstColumn="0" w:lastColumn="0" w:oddVBand="0" w:evenVBand="0" w:oddHBand="1" w:evenHBand="0" w:firstRowFirstColumn="0" w:firstRowLastColumn="0" w:lastRowFirstColumn="0" w:lastRowLastColumn="0"/>
            </w:pPr>
            <w:r w:rsidRPr="00736A9C">
              <w:t>33-3012</w:t>
            </w:r>
          </w:p>
        </w:tc>
        <w:tc>
          <w:tcPr>
            <w:tcW w:w="2250" w:type="dxa"/>
            <w:tcBorders>
              <w:left w:val="single" w:sz="8" w:space="0" w:color="7BA0CD" w:themeColor="accent1" w:themeTint="BF"/>
              <w:right w:val="single" w:sz="8" w:space="0" w:color="7BA0CD" w:themeColor="accent1" w:themeTint="BF"/>
            </w:tcBorders>
            <w:vAlign w:val="center"/>
          </w:tcPr>
          <w:p w14:paraId="5B5C2025" w14:textId="77777777" w:rsidR="00641562" w:rsidRPr="00736A9C" w:rsidRDefault="00641562" w:rsidP="006A4240">
            <w:pPr>
              <w:pStyle w:val="Tablenormalleft"/>
              <w:jc w:val="left"/>
              <w:cnfStyle w:val="000000100000" w:firstRow="0" w:lastRow="0" w:firstColumn="0" w:lastColumn="0" w:oddVBand="0" w:evenVBand="0" w:oddHBand="1" w:evenHBand="0" w:firstRowFirstColumn="0" w:firstRowLastColumn="0" w:lastRowFirstColumn="0" w:lastRowLastColumn="0"/>
            </w:pPr>
            <w:r w:rsidRPr="00736A9C">
              <w:t xml:space="preserve"> Correctional Officers and Jailers</w:t>
            </w:r>
          </w:p>
        </w:tc>
        <w:tc>
          <w:tcPr>
            <w:tcW w:w="1755" w:type="dxa"/>
            <w:tcBorders>
              <w:left w:val="single" w:sz="8" w:space="0" w:color="7BA0CD" w:themeColor="accent1" w:themeTint="BF"/>
              <w:right w:val="single" w:sz="8" w:space="0" w:color="7BA0CD" w:themeColor="accent1" w:themeTint="BF"/>
            </w:tcBorders>
            <w:vAlign w:val="center"/>
          </w:tcPr>
          <w:p w14:paraId="784A20DA" w14:textId="77777777" w:rsidR="00641562" w:rsidRPr="00736A9C" w:rsidRDefault="00641562" w:rsidP="006A4240">
            <w:pPr>
              <w:pStyle w:val="Tablenormalright"/>
              <w:cnfStyle w:val="000000100000" w:firstRow="0" w:lastRow="0" w:firstColumn="0" w:lastColumn="0" w:oddVBand="0" w:evenVBand="0" w:oddHBand="1" w:evenHBand="0" w:firstRowFirstColumn="0" w:firstRowLastColumn="0" w:lastRowFirstColumn="0" w:lastRowLastColumn="0"/>
            </w:pPr>
            <w:r w:rsidRPr="00736A9C">
              <w:t>75%</w:t>
            </w:r>
          </w:p>
        </w:tc>
        <w:tc>
          <w:tcPr>
            <w:tcW w:w="1755" w:type="dxa"/>
            <w:tcBorders>
              <w:left w:val="single" w:sz="8" w:space="0" w:color="7BA0CD" w:themeColor="accent1" w:themeTint="BF"/>
            </w:tcBorders>
            <w:vAlign w:val="center"/>
          </w:tcPr>
          <w:p w14:paraId="4EDB3D3C" w14:textId="77777777" w:rsidR="00641562" w:rsidRPr="00736A9C" w:rsidRDefault="00641562" w:rsidP="006A4240">
            <w:pPr>
              <w:pStyle w:val="Tablenormalright"/>
              <w:cnfStyle w:val="000000100000" w:firstRow="0" w:lastRow="0" w:firstColumn="0" w:lastColumn="0" w:oddVBand="0" w:evenVBand="0" w:oddHBand="1" w:evenHBand="0" w:firstRowFirstColumn="0" w:firstRowLastColumn="0" w:lastRowFirstColumn="0" w:lastRowLastColumn="0"/>
            </w:pPr>
            <w:r w:rsidRPr="00736A9C">
              <w:t>88%</w:t>
            </w:r>
          </w:p>
        </w:tc>
      </w:tr>
      <w:tr w:rsidR="00641562" w:rsidRPr="00736A9C" w14:paraId="28146F27" w14:textId="77777777" w:rsidTr="008810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right w:val="single" w:sz="8" w:space="0" w:color="7BA0CD" w:themeColor="accent1" w:themeTint="BF"/>
            </w:tcBorders>
            <w:vAlign w:val="center"/>
          </w:tcPr>
          <w:p w14:paraId="7BCAE09F" w14:textId="77777777" w:rsidR="00641562" w:rsidRPr="00736A9C" w:rsidRDefault="00641562" w:rsidP="006A4240">
            <w:pPr>
              <w:pStyle w:val="Tablenormalleft"/>
              <w:jc w:val="left"/>
            </w:pPr>
          </w:p>
        </w:tc>
        <w:tc>
          <w:tcPr>
            <w:tcW w:w="1710" w:type="dxa"/>
            <w:tcBorders>
              <w:left w:val="single" w:sz="8" w:space="0" w:color="7BA0CD" w:themeColor="accent1" w:themeTint="BF"/>
              <w:right w:val="single" w:sz="8" w:space="0" w:color="7BA0CD" w:themeColor="accent1" w:themeTint="BF"/>
            </w:tcBorders>
            <w:vAlign w:val="center"/>
          </w:tcPr>
          <w:p w14:paraId="31182E45" w14:textId="77777777" w:rsidR="00641562" w:rsidRPr="00736A9C" w:rsidRDefault="00641562" w:rsidP="006A4240">
            <w:pPr>
              <w:pStyle w:val="Tablenormalleft"/>
              <w:jc w:val="left"/>
              <w:cnfStyle w:val="000000010000" w:firstRow="0" w:lastRow="0" w:firstColumn="0" w:lastColumn="0" w:oddVBand="0" w:evenVBand="0" w:oddHBand="0" w:evenHBand="1" w:firstRowFirstColumn="0" w:firstRowLastColumn="0" w:lastRowFirstColumn="0" w:lastRowLastColumn="0"/>
            </w:pPr>
          </w:p>
        </w:tc>
        <w:tc>
          <w:tcPr>
            <w:tcW w:w="990" w:type="dxa"/>
            <w:tcBorders>
              <w:left w:val="single" w:sz="8" w:space="0" w:color="7BA0CD" w:themeColor="accent1" w:themeTint="BF"/>
              <w:right w:val="single" w:sz="8" w:space="0" w:color="7BA0CD" w:themeColor="accent1" w:themeTint="BF"/>
            </w:tcBorders>
            <w:vAlign w:val="center"/>
          </w:tcPr>
          <w:p w14:paraId="07B3E64F" w14:textId="77777777" w:rsidR="00641562" w:rsidRPr="00736A9C" w:rsidRDefault="00641562" w:rsidP="006A4240">
            <w:pPr>
              <w:pStyle w:val="Tablenormalleft"/>
              <w:jc w:val="left"/>
              <w:cnfStyle w:val="000000010000" w:firstRow="0" w:lastRow="0" w:firstColumn="0" w:lastColumn="0" w:oddVBand="0" w:evenVBand="0" w:oddHBand="0" w:evenHBand="1" w:firstRowFirstColumn="0" w:firstRowLastColumn="0" w:lastRowFirstColumn="0" w:lastRowLastColumn="0"/>
            </w:pPr>
            <w:r w:rsidRPr="00736A9C">
              <w:t>33-1012</w:t>
            </w:r>
          </w:p>
        </w:tc>
        <w:tc>
          <w:tcPr>
            <w:tcW w:w="2250" w:type="dxa"/>
            <w:tcBorders>
              <w:left w:val="single" w:sz="8" w:space="0" w:color="7BA0CD" w:themeColor="accent1" w:themeTint="BF"/>
              <w:right w:val="single" w:sz="8" w:space="0" w:color="7BA0CD" w:themeColor="accent1" w:themeTint="BF"/>
            </w:tcBorders>
            <w:vAlign w:val="center"/>
          </w:tcPr>
          <w:p w14:paraId="1B9724FE" w14:textId="77777777" w:rsidR="00641562" w:rsidRPr="00736A9C" w:rsidRDefault="00641562" w:rsidP="006A4240">
            <w:pPr>
              <w:pStyle w:val="Tablenormalleft"/>
              <w:jc w:val="left"/>
              <w:cnfStyle w:val="000000010000" w:firstRow="0" w:lastRow="0" w:firstColumn="0" w:lastColumn="0" w:oddVBand="0" w:evenVBand="0" w:oddHBand="0" w:evenHBand="1" w:firstRowFirstColumn="0" w:firstRowLastColumn="0" w:lastRowFirstColumn="0" w:lastRowLastColumn="0"/>
            </w:pPr>
            <w:r w:rsidRPr="00736A9C">
              <w:t xml:space="preserve"> First-Line Supervisors of Police and Detectives</w:t>
            </w:r>
          </w:p>
        </w:tc>
        <w:tc>
          <w:tcPr>
            <w:tcW w:w="1755" w:type="dxa"/>
            <w:tcBorders>
              <w:left w:val="single" w:sz="8" w:space="0" w:color="7BA0CD" w:themeColor="accent1" w:themeTint="BF"/>
              <w:right w:val="single" w:sz="8" w:space="0" w:color="7BA0CD" w:themeColor="accent1" w:themeTint="BF"/>
            </w:tcBorders>
            <w:vAlign w:val="center"/>
          </w:tcPr>
          <w:p w14:paraId="1072D1E8" w14:textId="77777777" w:rsidR="00641562" w:rsidRPr="00736A9C" w:rsidRDefault="00641562" w:rsidP="006A4240">
            <w:pPr>
              <w:pStyle w:val="Tablenormalright"/>
              <w:cnfStyle w:val="000000010000" w:firstRow="0" w:lastRow="0" w:firstColumn="0" w:lastColumn="0" w:oddVBand="0" w:evenVBand="0" w:oddHBand="0" w:evenHBand="1" w:firstRowFirstColumn="0" w:firstRowLastColumn="0" w:lastRowFirstColumn="0" w:lastRowLastColumn="0"/>
            </w:pPr>
            <w:r w:rsidRPr="00736A9C">
              <w:t>46%</w:t>
            </w:r>
          </w:p>
        </w:tc>
        <w:tc>
          <w:tcPr>
            <w:tcW w:w="1755" w:type="dxa"/>
            <w:tcBorders>
              <w:left w:val="single" w:sz="8" w:space="0" w:color="7BA0CD" w:themeColor="accent1" w:themeTint="BF"/>
            </w:tcBorders>
            <w:vAlign w:val="center"/>
          </w:tcPr>
          <w:p w14:paraId="1FEB7C83" w14:textId="77777777" w:rsidR="00641562" w:rsidRPr="00736A9C" w:rsidRDefault="00641562" w:rsidP="006A4240">
            <w:pPr>
              <w:pStyle w:val="Tablenormalright"/>
              <w:cnfStyle w:val="000000010000" w:firstRow="0" w:lastRow="0" w:firstColumn="0" w:lastColumn="0" w:oddVBand="0" w:evenVBand="0" w:oddHBand="0" w:evenHBand="1" w:firstRowFirstColumn="0" w:firstRowLastColumn="0" w:lastRowFirstColumn="0" w:lastRowLastColumn="0"/>
            </w:pPr>
            <w:r w:rsidRPr="00736A9C">
              <w:t>62%</w:t>
            </w:r>
          </w:p>
        </w:tc>
      </w:tr>
      <w:tr w:rsidR="00641562" w:rsidRPr="00736A9C" w14:paraId="4E936058" w14:textId="77777777" w:rsidTr="0088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right w:val="single" w:sz="8" w:space="0" w:color="7BA0CD" w:themeColor="accent1" w:themeTint="BF"/>
            </w:tcBorders>
            <w:vAlign w:val="center"/>
          </w:tcPr>
          <w:p w14:paraId="32F90289" w14:textId="77777777" w:rsidR="00641562" w:rsidRPr="00736A9C" w:rsidRDefault="00641562" w:rsidP="006A4240">
            <w:pPr>
              <w:pStyle w:val="Tablenormalleft"/>
              <w:jc w:val="left"/>
            </w:pPr>
          </w:p>
        </w:tc>
        <w:tc>
          <w:tcPr>
            <w:tcW w:w="1710" w:type="dxa"/>
            <w:tcBorders>
              <w:left w:val="single" w:sz="8" w:space="0" w:color="7BA0CD" w:themeColor="accent1" w:themeTint="BF"/>
              <w:right w:val="single" w:sz="8" w:space="0" w:color="7BA0CD" w:themeColor="accent1" w:themeTint="BF"/>
            </w:tcBorders>
            <w:vAlign w:val="center"/>
          </w:tcPr>
          <w:p w14:paraId="15E313AB" w14:textId="77777777" w:rsidR="00641562" w:rsidRPr="00736A9C" w:rsidRDefault="00641562" w:rsidP="006A4240">
            <w:pPr>
              <w:pStyle w:val="Tablenormalleft"/>
              <w:jc w:val="left"/>
              <w:cnfStyle w:val="000000100000" w:firstRow="0" w:lastRow="0" w:firstColumn="0" w:lastColumn="0" w:oddVBand="0" w:evenVBand="0" w:oddHBand="1" w:evenHBand="0" w:firstRowFirstColumn="0" w:firstRowLastColumn="0" w:lastRowFirstColumn="0" w:lastRowLastColumn="0"/>
            </w:pPr>
          </w:p>
        </w:tc>
        <w:tc>
          <w:tcPr>
            <w:tcW w:w="990" w:type="dxa"/>
            <w:tcBorders>
              <w:left w:val="single" w:sz="8" w:space="0" w:color="7BA0CD" w:themeColor="accent1" w:themeTint="BF"/>
              <w:right w:val="single" w:sz="8" w:space="0" w:color="7BA0CD" w:themeColor="accent1" w:themeTint="BF"/>
            </w:tcBorders>
            <w:vAlign w:val="center"/>
          </w:tcPr>
          <w:p w14:paraId="43764F0D" w14:textId="77777777" w:rsidR="00641562" w:rsidRPr="00736A9C" w:rsidRDefault="00641562" w:rsidP="006A4240">
            <w:pPr>
              <w:pStyle w:val="Tablenormalleft"/>
              <w:jc w:val="left"/>
              <w:cnfStyle w:val="000000100000" w:firstRow="0" w:lastRow="0" w:firstColumn="0" w:lastColumn="0" w:oddVBand="0" w:evenVBand="0" w:oddHBand="1" w:evenHBand="0" w:firstRowFirstColumn="0" w:firstRowLastColumn="0" w:lastRowFirstColumn="0" w:lastRowLastColumn="0"/>
            </w:pPr>
            <w:r w:rsidRPr="00736A9C">
              <w:t>33-1011</w:t>
            </w:r>
          </w:p>
        </w:tc>
        <w:tc>
          <w:tcPr>
            <w:tcW w:w="2250" w:type="dxa"/>
            <w:tcBorders>
              <w:left w:val="single" w:sz="8" w:space="0" w:color="7BA0CD" w:themeColor="accent1" w:themeTint="BF"/>
              <w:right w:val="single" w:sz="8" w:space="0" w:color="7BA0CD" w:themeColor="accent1" w:themeTint="BF"/>
            </w:tcBorders>
            <w:vAlign w:val="center"/>
          </w:tcPr>
          <w:p w14:paraId="2CC38DF3" w14:textId="77777777" w:rsidR="00641562" w:rsidRPr="00736A9C" w:rsidRDefault="00641562" w:rsidP="006A4240">
            <w:pPr>
              <w:pStyle w:val="Tablenormalleft"/>
              <w:jc w:val="left"/>
              <w:cnfStyle w:val="000000100000" w:firstRow="0" w:lastRow="0" w:firstColumn="0" w:lastColumn="0" w:oddVBand="0" w:evenVBand="0" w:oddHBand="1" w:evenHBand="0" w:firstRowFirstColumn="0" w:firstRowLastColumn="0" w:lastRowFirstColumn="0" w:lastRowLastColumn="0"/>
            </w:pPr>
            <w:r w:rsidRPr="00736A9C">
              <w:t xml:space="preserve"> First-Line Supervisors of Correctional Officers</w:t>
            </w:r>
          </w:p>
        </w:tc>
        <w:tc>
          <w:tcPr>
            <w:tcW w:w="1755" w:type="dxa"/>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65297027" w14:textId="77777777" w:rsidR="00641562" w:rsidRPr="00736A9C" w:rsidRDefault="00641562" w:rsidP="006A4240">
            <w:pPr>
              <w:pStyle w:val="Tablenormalright"/>
              <w:cnfStyle w:val="000000100000" w:firstRow="0" w:lastRow="0" w:firstColumn="0" w:lastColumn="0" w:oddVBand="0" w:evenVBand="0" w:oddHBand="1" w:evenHBand="0" w:firstRowFirstColumn="0" w:firstRowLastColumn="0" w:lastRowFirstColumn="0" w:lastRowLastColumn="0"/>
            </w:pPr>
            <w:r w:rsidRPr="00736A9C">
              <w:t>61%</w:t>
            </w:r>
          </w:p>
        </w:tc>
        <w:tc>
          <w:tcPr>
            <w:tcW w:w="1755" w:type="dxa"/>
            <w:tcBorders>
              <w:left w:val="single" w:sz="8" w:space="0" w:color="7BA0CD" w:themeColor="accent1" w:themeTint="BF"/>
              <w:bottom w:val="single" w:sz="8" w:space="0" w:color="7BA0CD" w:themeColor="accent1" w:themeTint="BF"/>
            </w:tcBorders>
            <w:vAlign w:val="center"/>
          </w:tcPr>
          <w:p w14:paraId="01C06FF3" w14:textId="77777777" w:rsidR="00641562" w:rsidRPr="00736A9C" w:rsidRDefault="00641562" w:rsidP="006A4240">
            <w:pPr>
              <w:pStyle w:val="Tablenormalright"/>
              <w:cnfStyle w:val="000000100000" w:firstRow="0" w:lastRow="0" w:firstColumn="0" w:lastColumn="0" w:oddVBand="0" w:evenVBand="0" w:oddHBand="1" w:evenHBand="0" w:firstRowFirstColumn="0" w:firstRowLastColumn="0" w:lastRowFirstColumn="0" w:lastRowLastColumn="0"/>
            </w:pPr>
            <w:r w:rsidRPr="00736A9C">
              <w:t>75%</w:t>
            </w:r>
          </w:p>
        </w:tc>
      </w:tr>
      <w:tr w:rsidR="00641562" w:rsidRPr="00736A9C" w14:paraId="318D4A5B" w14:textId="77777777" w:rsidTr="008810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vAlign w:val="center"/>
          </w:tcPr>
          <w:p w14:paraId="06E3EA1D" w14:textId="77777777" w:rsidR="00641562" w:rsidRPr="00736A9C" w:rsidRDefault="00641562" w:rsidP="006A4240">
            <w:pPr>
              <w:pStyle w:val="Tablenormalleft"/>
              <w:jc w:val="left"/>
            </w:pPr>
          </w:p>
        </w:tc>
        <w:tc>
          <w:tcPr>
            <w:tcW w:w="1710" w:type="dxa"/>
            <w:vAlign w:val="center"/>
          </w:tcPr>
          <w:p w14:paraId="7099125B" w14:textId="77777777" w:rsidR="00641562" w:rsidRPr="00736A9C" w:rsidRDefault="00641562" w:rsidP="006A4240">
            <w:pPr>
              <w:pStyle w:val="Tablenormalleft"/>
              <w:jc w:val="left"/>
              <w:cnfStyle w:val="000000010000" w:firstRow="0" w:lastRow="0" w:firstColumn="0" w:lastColumn="0" w:oddVBand="0" w:evenVBand="0" w:oddHBand="0" w:evenHBand="1" w:firstRowFirstColumn="0" w:firstRowLastColumn="0" w:lastRowFirstColumn="0" w:lastRowLastColumn="0"/>
            </w:pPr>
            <w:r>
              <w:t>Weighted Average</w:t>
            </w:r>
          </w:p>
        </w:tc>
        <w:tc>
          <w:tcPr>
            <w:tcW w:w="990" w:type="dxa"/>
            <w:vAlign w:val="center"/>
          </w:tcPr>
          <w:p w14:paraId="3B621343" w14:textId="77777777" w:rsidR="00641562" w:rsidRPr="00736A9C" w:rsidRDefault="00641562" w:rsidP="006A4240">
            <w:pPr>
              <w:pStyle w:val="Tablenormalleft"/>
              <w:jc w:val="left"/>
              <w:cnfStyle w:val="000000010000" w:firstRow="0" w:lastRow="0" w:firstColumn="0" w:lastColumn="0" w:oddVBand="0" w:evenVBand="0" w:oddHBand="0" w:evenHBand="1" w:firstRowFirstColumn="0" w:firstRowLastColumn="0" w:lastRowFirstColumn="0" w:lastRowLastColumn="0"/>
            </w:pPr>
          </w:p>
        </w:tc>
        <w:tc>
          <w:tcPr>
            <w:tcW w:w="2250" w:type="dxa"/>
            <w:tcBorders>
              <w:right w:val="single" w:sz="8" w:space="0" w:color="7BA0CD" w:themeColor="accent1" w:themeTint="BF"/>
            </w:tcBorders>
            <w:vAlign w:val="center"/>
          </w:tcPr>
          <w:p w14:paraId="3C89C1E3" w14:textId="77777777" w:rsidR="00641562" w:rsidRPr="00736A9C" w:rsidRDefault="00641562" w:rsidP="006A4240">
            <w:pPr>
              <w:pStyle w:val="Tablenormalleft"/>
              <w:jc w:val="left"/>
              <w:cnfStyle w:val="000000010000" w:firstRow="0" w:lastRow="0" w:firstColumn="0" w:lastColumn="0" w:oddVBand="0" w:evenVBand="0" w:oddHBand="0" w:evenHBand="1" w:firstRowFirstColumn="0" w:firstRowLastColumn="0" w:lastRowFirstColumn="0" w:lastRowLastColumn="0"/>
            </w:pPr>
          </w:p>
        </w:tc>
        <w:tc>
          <w:tcPr>
            <w:tcW w:w="1755" w:type="dxa"/>
            <w:tcBorders>
              <w:left w:val="single" w:sz="8" w:space="0" w:color="7BA0CD" w:themeColor="accent1" w:themeTint="BF"/>
              <w:right w:val="single" w:sz="8" w:space="0" w:color="7BA0CD" w:themeColor="accent1" w:themeTint="BF"/>
            </w:tcBorders>
            <w:vAlign w:val="center"/>
          </w:tcPr>
          <w:p w14:paraId="0BE0056C" w14:textId="77777777" w:rsidR="00641562" w:rsidRPr="00736A9C" w:rsidRDefault="00641562" w:rsidP="006A4240">
            <w:pPr>
              <w:pStyle w:val="Tablenormalright"/>
              <w:cnfStyle w:val="000000010000" w:firstRow="0" w:lastRow="0" w:firstColumn="0" w:lastColumn="0" w:oddVBand="0" w:evenVBand="0" w:oddHBand="0" w:evenHBand="1" w:firstRowFirstColumn="0" w:firstRowLastColumn="0" w:lastRowFirstColumn="0" w:lastRowLastColumn="0"/>
            </w:pPr>
            <w:r>
              <w:t>68%</w:t>
            </w:r>
          </w:p>
        </w:tc>
        <w:tc>
          <w:tcPr>
            <w:tcW w:w="1755" w:type="dxa"/>
            <w:tcBorders>
              <w:left w:val="single" w:sz="8" w:space="0" w:color="7BA0CD" w:themeColor="accent1" w:themeTint="BF"/>
            </w:tcBorders>
            <w:vAlign w:val="center"/>
          </w:tcPr>
          <w:p w14:paraId="2C3CBF8D" w14:textId="77777777" w:rsidR="00641562" w:rsidRPr="00736A9C" w:rsidRDefault="00641562" w:rsidP="006A4240">
            <w:pPr>
              <w:pStyle w:val="Tablenormalright"/>
              <w:cnfStyle w:val="000000010000" w:firstRow="0" w:lastRow="0" w:firstColumn="0" w:lastColumn="0" w:oddVBand="0" w:evenVBand="0" w:oddHBand="0" w:evenHBand="1" w:firstRowFirstColumn="0" w:firstRowLastColumn="0" w:lastRowFirstColumn="0" w:lastRowLastColumn="0"/>
            </w:pPr>
            <w:r>
              <w:t>85%</w:t>
            </w:r>
          </w:p>
        </w:tc>
      </w:tr>
    </w:tbl>
    <w:p w14:paraId="146A5F80" w14:textId="77777777" w:rsidR="00641562" w:rsidRDefault="00641562" w:rsidP="00641562">
      <w:pPr>
        <w:pStyle w:val="Heading3"/>
      </w:pPr>
      <w:bookmarkStart w:id="35" w:name="_Toc428785427"/>
      <w:r>
        <w:t>De-duplication of Annual Openings</w:t>
      </w:r>
      <w:bookmarkEnd w:id="35"/>
    </w:p>
    <w:p w14:paraId="4FDE6E31" w14:textId="77777777" w:rsidR="00641562" w:rsidRDefault="00641562" w:rsidP="00641562">
      <w:r>
        <w:t xml:space="preserve">Most educational programs are designed to train people for multiple occupational types, many of which are simultaneously linked with other educational programs, presenting a complexity when comparing supply and demand for any particular educational program. For instance, the Computer Systems Networking &amp; Telecommunications program is mapped to three different occupations: computer support specialists, information security analysts, and computer systems analysts. If we focus on just one of the occupations for this list—computer support specialists—it is also mapped to 10 different educational programs, spanning program titles such as Computer Systems Analysis and Medical Office Computer Specialist. </w:t>
      </w:r>
    </w:p>
    <w:p w14:paraId="23362C96" w14:textId="14F3DE05" w:rsidR="00641562" w:rsidRDefault="00641562" w:rsidP="00641562">
      <w:pPr>
        <w:rPr>
          <w:rFonts w:cstheme="minorHAnsi"/>
          <w:szCs w:val="22"/>
        </w:rPr>
      </w:pPr>
      <w:r>
        <w:lastRenderedPageBreak/>
        <w:t xml:space="preserve">To ensure that no double-counting occurs, it is necessary to either realign the program groupings to eliminate the mapping of occupations to multiple programs, or to determine what proportion of demand should be compared with supply numbers from each program. EMSI takes the second approach in this analysis, which has the advantage of maintaining the program titles and descriptions in roughly the same format that completer data were originally delivered to EMSI. EMSI uses a formula that favors program types with the largest number of completers, attributing a greater proportion of demand to these than </w:t>
      </w:r>
      <w:r w:rsidR="009538F3">
        <w:t xml:space="preserve">the programs </w:t>
      </w:r>
      <w:r>
        <w:t>which produce a smaller number of completers</w:t>
      </w:r>
      <w:r w:rsidR="009538F3">
        <w:t>. This method utilizes</w:t>
      </w:r>
      <w:r>
        <w:t xml:space="preserve"> the assumption that the higher output educational programs are likely feeding a higher degree of demand within the </w:t>
      </w:r>
      <w:r w:rsidR="00B101E7">
        <w:t>Economic Region</w:t>
      </w:r>
      <w:r>
        <w:t>.</w:t>
      </w:r>
      <w:r>
        <w:rPr>
          <w:rStyle w:val="FootnoteReference"/>
          <w:rFonts w:asciiTheme="minorHAnsi" w:hAnsiTheme="minorHAnsi"/>
          <w:sz w:val="22"/>
        </w:rPr>
        <w:footnoteReference w:id="10"/>
      </w:r>
      <w:r>
        <w:t xml:space="preserve"> </w:t>
      </w:r>
      <w:r>
        <w:rPr>
          <w:rFonts w:cstheme="minorHAnsi"/>
          <w:szCs w:val="22"/>
        </w:rPr>
        <w:t>Appendix 2</w:t>
      </w:r>
      <w:r w:rsidRPr="00BB68E4">
        <w:rPr>
          <w:rFonts w:cstheme="minorHAnsi"/>
          <w:szCs w:val="22"/>
        </w:rPr>
        <w:t xml:space="preserve"> contains the detailed mapping of each CIP code to </w:t>
      </w:r>
      <w:r>
        <w:rPr>
          <w:rFonts w:cstheme="minorHAnsi"/>
          <w:szCs w:val="22"/>
        </w:rPr>
        <w:t xml:space="preserve">all </w:t>
      </w:r>
      <w:r w:rsidRPr="00BB68E4">
        <w:rPr>
          <w:rFonts w:cstheme="minorHAnsi"/>
          <w:szCs w:val="22"/>
        </w:rPr>
        <w:t>relevant occupations.</w:t>
      </w:r>
      <w:r>
        <w:rPr>
          <w:rFonts w:cstheme="minorHAnsi"/>
          <w:szCs w:val="22"/>
        </w:rPr>
        <w:t xml:space="preserve"> </w:t>
      </w:r>
    </w:p>
    <w:p w14:paraId="705947B6" w14:textId="765BCCB9" w:rsidR="00641562" w:rsidRDefault="00641562" w:rsidP="00641562">
      <w:pPr>
        <w:rPr>
          <w:rFonts w:cstheme="minorHAnsi"/>
          <w:szCs w:val="22"/>
        </w:rPr>
      </w:pPr>
      <w:r>
        <w:rPr>
          <w:rFonts w:cstheme="minorHAnsi"/>
          <w:szCs w:val="22"/>
        </w:rPr>
        <w:t xml:space="preserve">One possible criticism of this methodology is that it assumes, all else being equal, students from higher-output programs are more likely to obtain a job than students from lower-output programs, whereas in reality students are judged more by their skills and merits than their educational program of study. The intention of the analysis is not to rate students’ capability of competing for jobs, but rather to capture the unique dynamics of the local labor market. For example, in a region where a unique program such as </w:t>
      </w:r>
      <w:r w:rsidR="00FD1431">
        <w:rPr>
          <w:rFonts w:cstheme="minorHAnsi"/>
          <w:szCs w:val="22"/>
        </w:rPr>
        <w:t>Commercial</w:t>
      </w:r>
      <w:r>
        <w:rPr>
          <w:rFonts w:cstheme="minorHAnsi"/>
          <w:szCs w:val="22"/>
        </w:rPr>
        <w:t xml:space="preserve"> and Advertising Art is more prevalent than Graphic Design, it can safely be assumed that the graduates of the </w:t>
      </w:r>
      <w:r w:rsidR="00FD1431">
        <w:rPr>
          <w:rFonts w:cstheme="minorHAnsi"/>
          <w:szCs w:val="22"/>
        </w:rPr>
        <w:t>Commercial</w:t>
      </w:r>
      <w:r>
        <w:rPr>
          <w:rFonts w:cstheme="minorHAnsi"/>
          <w:szCs w:val="22"/>
        </w:rPr>
        <w:t xml:space="preserve"> and Advertising Art program will be offered a larger number of local openings than are students from the Graphic Design program. If such were not the case, it would be unlikely for the </w:t>
      </w:r>
      <w:r w:rsidR="00FD1431">
        <w:rPr>
          <w:rFonts w:cstheme="minorHAnsi"/>
          <w:szCs w:val="22"/>
        </w:rPr>
        <w:t>Commercial</w:t>
      </w:r>
      <w:r>
        <w:rPr>
          <w:rFonts w:cstheme="minorHAnsi"/>
          <w:szCs w:val="22"/>
        </w:rPr>
        <w:t xml:space="preserve"> and Advertising Art program to remain the producer of local talent in the long-term, as the program would yield students to a program with a more successful job placement rate. </w:t>
      </w:r>
    </w:p>
    <w:p w14:paraId="2C210D6D" w14:textId="072F314C" w:rsidR="00641562" w:rsidRPr="00523F5B" w:rsidRDefault="00641562" w:rsidP="00641562">
      <w:pPr>
        <w:rPr>
          <w:rFonts w:cstheme="minorHAnsi"/>
          <w:szCs w:val="22"/>
        </w:rPr>
      </w:pPr>
      <w:r>
        <w:rPr>
          <w:rFonts w:cstheme="minorHAnsi"/>
          <w:szCs w:val="22"/>
        </w:rPr>
        <w:t xml:space="preserve">Recognizing that some smaller programs produce students who are more capable of obtaining local jobs than students from larger programs, EMSI also provides an alternative gap </w:t>
      </w:r>
      <w:r>
        <w:rPr>
          <w:rFonts w:cstheme="minorHAnsi"/>
          <w:szCs w:val="22"/>
        </w:rPr>
        <w:lastRenderedPageBreak/>
        <w:t xml:space="preserve">analysis, which does not reduce the number of annual openings based on the size of each educational program. Rather the total number of annual openings available for students at each educational level </w:t>
      </w:r>
      <w:r w:rsidR="008D098C">
        <w:rPr>
          <w:rFonts w:cstheme="minorHAnsi"/>
          <w:szCs w:val="22"/>
        </w:rPr>
        <w:t>is</w:t>
      </w:r>
      <w:r>
        <w:rPr>
          <w:rFonts w:cstheme="minorHAnsi"/>
          <w:szCs w:val="22"/>
        </w:rPr>
        <w:t xml:space="preserve"> provided without further modification. Due to this modification, these numbers have not been de-duplicated, unlike the annual openings figures shown in Chapter </w:t>
      </w:r>
      <w:r w:rsidR="00414571">
        <w:rPr>
          <w:rFonts w:cstheme="minorHAnsi"/>
          <w:szCs w:val="22"/>
        </w:rPr>
        <w:t>2</w:t>
      </w:r>
      <w:r>
        <w:rPr>
          <w:rFonts w:cstheme="minorHAnsi"/>
          <w:szCs w:val="22"/>
        </w:rPr>
        <w:t xml:space="preserve">. These figures are provided in Appendix 4: Alternative Supply and Demand Calculations. </w:t>
      </w:r>
    </w:p>
    <w:p w14:paraId="0B0CCF44" w14:textId="77777777" w:rsidR="00641562" w:rsidRPr="00774297" w:rsidRDefault="00641562" w:rsidP="00641562">
      <w:pPr>
        <w:pStyle w:val="Heading2"/>
      </w:pPr>
      <w:bookmarkStart w:id="36" w:name="_Toc428785428"/>
      <w:r w:rsidRPr="00774297">
        <w:t>Education Output</w:t>
      </w:r>
      <w:bookmarkEnd w:id="34"/>
      <w:bookmarkEnd w:id="36"/>
    </w:p>
    <w:p w14:paraId="05780DD1" w14:textId="2C857684" w:rsidR="00641562" w:rsidRPr="007F662A" w:rsidRDefault="00641562" w:rsidP="00641562">
      <w:r w:rsidRPr="00774297">
        <w:t xml:space="preserve">There are </w:t>
      </w:r>
      <w:r w:rsidR="00414571" w:rsidRPr="00774297">
        <w:t>several</w:t>
      </w:r>
      <w:r w:rsidRPr="00774297">
        <w:t xml:space="preserve"> educational institutions in the </w:t>
      </w:r>
      <w:r w:rsidR="00B101E7">
        <w:t>Economic Region</w:t>
      </w:r>
      <w:r w:rsidRPr="00774297">
        <w:t xml:space="preserve">, some of which have programs similar to those offered at </w:t>
      </w:r>
      <w:r w:rsidR="006C38C7">
        <w:t>CCC</w:t>
      </w:r>
      <w:r w:rsidRPr="00774297">
        <w:t xml:space="preserve">. Hence completers at </w:t>
      </w:r>
      <w:r w:rsidR="006C38C7">
        <w:t>CCC</w:t>
      </w:r>
      <w:r w:rsidRPr="00774297">
        <w:t xml:space="preserve"> will be competing for some jobs with completers from other regional institutions. EMSI determined education output by Classification of Instructional Program (CIP) codes and identified the number of completers for every award level within those CIP codes. To find the output for all public and private education institutions in the </w:t>
      </w:r>
      <w:r w:rsidR="00B101E7">
        <w:t>Economic Region</w:t>
      </w:r>
      <w:r w:rsidRPr="00774297">
        <w:t>, EMSI used data from the Integrated Postsecondary Educational System (IPEDS).</w:t>
      </w:r>
      <w:r w:rsidRPr="00774297">
        <w:rPr>
          <w:vertAlign w:val="superscript"/>
        </w:rPr>
        <w:footnoteReference w:id="11"/>
      </w:r>
      <w:r w:rsidRPr="00774297">
        <w:t xml:space="preserve"> These data are publicly available through the National Center for Educational Statistics. Completions data were averaged for a three-year period, 201</w:t>
      </w:r>
      <w:r w:rsidR="00520598">
        <w:t>1 through 2013</w:t>
      </w:r>
      <w:r w:rsidRPr="00774297">
        <w:t>, to smooth out any</w:t>
      </w:r>
      <w:r>
        <w:t xml:space="preserve"> bumps in enrollment that may be unique to a particular academic year. </w:t>
      </w:r>
      <w:r w:rsidR="002847C9">
        <w:t xml:space="preserve">Data gathered directly from </w:t>
      </w:r>
      <w:r w:rsidR="006C38C7">
        <w:t>CCC</w:t>
      </w:r>
      <w:r w:rsidR="002847C9">
        <w:t xml:space="preserve"> was used to replace IPEDS data for </w:t>
      </w:r>
      <w:r w:rsidR="006C38C7">
        <w:t>CCC</w:t>
      </w:r>
      <w:r w:rsidR="00651513">
        <w:t xml:space="preserve"> and includes 2014 completions.</w:t>
      </w:r>
    </w:p>
    <w:p w14:paraId="69B6C18C" w14:textId="53E1EB48" w:rsidR="00641562" w:rsidRPr="00D36EE5" w:rsidRDefault="00641562" w:rsidP="00641562">
      <w:r w:rsidRPr="00BB68E4">
        <w:t>Table</w:t>
      </w:r>
      <w:r w:rsidR="00A12E86">
        <w:t>s</w:t>
      </w:r>
      <w:r w:rsidRPr="00BB68E4">
        <w:t xml:space="preserve"> </w:t>
      </w:r>
      <w:r>
        <w:t>A3.2</w:t>
      </w:r>
      <w:r w:rsidR="00A12E86">
        <w:t xml:space="preserve"> and A3.3</w:t>
      </w:r>
      <w:r w:rsidRPr="00BB68E4">
        <w:t xml:space="preserve"> display the </w:t>
      </w:r>
      <w:r w:rsidR="008D059F">
        <w:t xml:space="preserve">completion </w:t>
      </w:r>
      <w:r w:rsidRPr="00BB68E4">
        <w:t xml:space="preserve">breakdown by </w:t>
      </w:r>
      <w:r>
        <w:t xml:space="preserve">institution </w:t>
      </w:r>
      <w:r w:rsidR="008D059F">
        <w:t>and</w:t>
      </w:r>
      <w:r w:rsidR="00A12E86">
        <w:t xml:space="preserve"> award type</w:t>
      </w:r>
      <w:r w:rsidRPr="00BB68E4">
        <w:t xml:space="preserve">. </w:t>
      </w:r>
      <w:r w:rsidR="006C38C7">
        <w:t>CCC</w:t>
      </w:r>
      <w:r w:rsidR="00916D0F" w:rsidRPr="00EF65FC">
        <w:t xml:space="preserve"> </w:t>
      </w:r>
      <w:r w:rsidR="00A12E86">
        <w:t xml:space="preserve">is </w:t>
      </w:r>
      <w:r w:rsidR="00651513">
        <w:t>one of many institutions</w:t>
      </w:r>
      <w:r w:rsidR="00A12E86">
        <w:t xml:space="preserve"> this region, granting </w:t>
      </w:r>
      <w:r w:rsidR="006A28CA">
        <w:t>853</w:t>
      </w:r>
      <w:r w:rsidR="00A12E86">
        <w:t xml:space="preserve"> certificates and </w:t>
      </w:r>
      <w:r w:rsidR="006A28CA">
        <w:t>504</w:t>
      </w:r>
      <w:r w:rsidR="00A12E86">
        <w:t xml:space="preserve"> a</w:t>
      </w:r>
      <w:r w:rsidR="00651513">
        <w:t xml:space="preserve">ssociate’s degrees, which is </w:t>
      </w:r>
      <w:r w:rsidR="006A28CA">
        <w:t>10</w:t>
      </w:r>
      <w:r w:rsidR="00916D0F" w:rsidRPr="00EF65FC">
        <w:t xml:space="preserve">% of </w:t>
      </w:r>
      <w:r w:rsidR="00A12E86">
        <w:t>both totals</w:t>
      </w:r>
      <w:r w:rsidR="00916D0F" w:rsidRPr="00EF65FC">
        <w:t xml:space="preserve">. </w:t>
      </w:r>
    </w:p>
    <w:p w14:paraId="232C01A9" w14:textId="77777777" w:rsidR="00641562" w:rsidRDefault="00641562" w:rsidP="00C15118">
      <w:pPr>
        <w:pStyle w:val="Tabletitle"/>
      </w:pPr>
      <w:r w:rsidRPr="00562108">
        <w:t>Table</w:t>
      </w:r>
      <w:r>
        <w:t xml:space="preserve"> A3.2: Summary of Postsecondary Certificate Level Regional </w:t>
      </w:r>
      <w:r w:rsidRPr="00562108">
        <w:t>Completions</w:t>
      </w:r>
      <w:r>
        <w:t xml:space="preserve"> by Institution</w:t>
      </w:r>
    </w:p>
    <w:tbl>
      <w:tblPr>
        <w:tblStyle w:val="MediumShading1-Accent1"/>
        <w:tblW w:w="9475" w:type="dxa"/>
        <w:tblLook w:val="04A0" w:firstRow="1" w:lastRow="0" w:firstColumn="1" w:lastColumn="0" w:noHBand="0" w:noVBand="1"/>
      </w:tblPr>
      <w:tblGrid>
        <w:gridCol w:w="5239"/>
        <w:gridCol w:w="2119"/>
        <w:gridCol w:w="2117"/>
      </w:tblGrid>
      <w:tr w:rsidR="00641562" w:rsidRPr="00385CCF" w14:paraId="6126D881" w14:textId="77777777" w:rsidTr="003C4A7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bottom"/>
            <w:hideMark/>
          </w:tcPr>
          <w:p w14:paraId="6A487627" w14:textId="77777777" w:rsidR="00641562" w:rsidRPr="0003456B" w:rsidRDefault="00641562" w:rsidP="00C15118">
            <w:pPr>
              <w:pStyle w:val="Tableheaderleft"/>
              <w:rPr>
                <w:b/>
              </w:rPr>
            </w:pPr>
            <w:r w:rsidRPr="0003456B">
              <w:rPr>
                <w:b/>
              </w:rPr>
              <w:t>Institution</w:t>
            </w:r>
          </w:p>
        </w:tc>
        <w:tc>
          <w:tcPr>
            <w:tcW w:w="1118" w:type="pct"/>
            <w:tcBorders>
              <w:left w:val="single" w:sz="8" w:space="0" w:color="7BA0CD" w:themeColor="accent1" w:themeTint="BF"/>
              <w:right w:val="single" w:sz="8" w:space="0" w:color="7BA0CD" w:themeColor="accent1" w:themeTint="BF"/>
            </w:tcBorders>
            <w:vAlign w:val="center"/>
          </w:tcPr>
          <w:p w14:paraId="78E99420" w14:textId="77777777" w:rsidR="00641562" w:rsidRPr="0003456B" w:rsidRDefault="00641562" w:rsidP="00B858C8">
            <w:pPr>
              <w:pStyle w:val="Tableheadercenter"/>
              <w:jc w:val="right"/>
              <w:cnfStyle w:val="100000000000" w:firstRow="1" w:lastRow="0" w:firstColumn="0" w:lastColumn="0" w:oddVBand="0" w:evenVBand="0" w:oddHBand="0" w:evenHBand="0" w:firstRowFirstColumn="0" w:firstRowLastColumn="0" w:lastRowFirstColumn="0" w:lastRowLastColumn="0"/>
              <w:rPr>
                <w:b/>
              </w:rPr>
            </w:pPr>
            <w:r w:rsidRPr="0003456B">
              <w:rPr>
                <w:b/>
              </w:rPr>
              <w:t>3-Year Average</w:t>
            </w:r>
          </w:p>
        </w:tc>
        <w:tc>
          <w:tcPr>
            <w:tcW w:w="1117" w:type="pct"/>
            <w:tcBorders>
              <w:left w:val="single" w:sz="8" w:space="0" w:color="7BA0CD" w:themeColor="accent1" w:themeTint="BF"/>
            </w:tcBorders>
            <w:vAlign w:val="center"/>
          </w:tcPr>
          <w:p w14:paraId="33E48749" w14:textId="6EECD1FA" w:rsidR="00641562" w:rsidRPr="0003456B" w:rsidRDefault="00FD1431" w:rsidP="00B858C8">
            <w:pPr>
              <w:pStyle w:val="Tableheadercenter"/>
              <w:jc w:val="right"/>
              <w:cnfStyle w:val="100000000000" w:firstRow="1" w:lastRow="0" w:firstColumn="0" w:lastColumn="0" w:oddVBand="0" w:evenVBand="0" w:oddHBand="0" w:evenHBand="0" w:firstRowFirstColumn="0" w:firstRowLastColumn="0" w:lastRowFirstColumn="0" w:lastRowLastColumn="0"/>
              <w:rPr>
                <w:b/>
              </w:rPr>
            </w:pPr>
            <w:r w:rsidRPr="0003456B">
              <w:rPr>
                <w:b/>
              </w:rPr>
              <w:t>Pe</w:t>
            </w:r>
            <w:r>
              <w:rPr>
                <w:b/>
              </w:rPr>
              <w:t>rce</w:t>
            </w:r>
            <w:r w:rsidRPr="0003456B">
              <w:rPr>
                <w:b/>
              </w:rPr>
              <w:t>nt</w:t>
            </w:r>
            <w:r w:rsidR="00641562" w:rsidRPr="0003456B">
              <w:rPr>
                <w:b/>
              </w:rPr>
              <w:t xml:space="preserve"> of Total</w:t>
            </w:r>
          </w:p>
        </w:tc>
      </w:tr>
      <w:tr w:rsidR="003C4A7C" w:rsidRPr="00385CCF" w14:paraId="20C3D84F"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2A4CB6AA" w14:textId="2509AB26" w:rsidR="003C4A7C" w:rsidRPr="00481101" w:rsidRDefault="003C4A7C" w:rsidP="003C4A7C">
            <w:pPr>
              <w:pStyle w:val="Tablenormalleft"/>
              <w:jc w:val="left"/>
              <w:rPr>
                <w:szCs w:val="18"/>
              </w:rPr>
            </w:pPr>
            <w:r w:rsidRPr="00763F5D">
              <w:t>Advanced Career Institute</w:t>
            </w:r>
          </w:p>
        </w:tc>
        <w:tc>
          <w:tcPr>
            <w:tcW w:w="1118" w:type="pct"/>
            <w:tcBorders>
              <w:left w:val="single" w:sz="8" w:space="0" w:color="7BA0CD" w:themeColor="accent1" w:themeTint="BF"/>
              <w:right w:val="single" w:sz="8" w:space="0" w:color="7BA0CD" w:themeColor="accent1" w:themeTint="BF"/>
            </w:tcBorders>
            <w:vAlign w:val="center"/>
          </w:tcPr>
          <w:p w14:paraId="5C085D84" w14:textId="7EF78853" w:rsidR="003C4A7C" w:rsidRPr="00481101" w:rsidRDefault="003C4A7C" w:rsidP="003C4A7C">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63F5D">
              <w:t xml:space="preserve"> 245 </w:t>
            </w:r>
          </w:p>
        </w:tc>
        <w:tc>
          <w:tcPr>
            <w:tcW w:w="1117" w:type="pct"/>
            <w:tcBorders>
              <w:left w:val="single" w:sz="8" w:space="0" w:color="7BA0CD" w:themeColor="accent1" w:themeTint="BF"/>
            </w:tcBorders>
            <w:vAlign w:val="center"/>
          </w:tcPr>
          <w:p w14:paraId="47F86EEA" w14:textId="7935C8D7" w:rsidR="003C4A7C" w:rsidRPr="00481101" w:rsidRDefault="003C4A7C" w:rsidP="003C4A7C">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63F5D">
              <w:t>3%</w:t>
            </w:r>
          </w:p>
        </w:tc>
      </w:tr>
      <w:tr w:rsidR="003C4A7C" w:rsidRPr="00385CCF" w14:paraId="14508B9C"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0C412AE5" w14:textId="1F66E781" w:rsidR="003C4A7C" w:rsidRDefault="003C4A7C" w:rsidP="003C4A7C">
            <w:pPr>
              <w:pStyle w:val="Tablenormalleft"/>
              <w:jc w:val="left"/>
            </w:pPr>
            <w:r w:rsidRPr="00763F5D">
              <w:t>Clovis Adult Education</w:t>
            </w:r>
          </w:p>
        </w:tc>
        <w:tc>
          <w:tcPr>
            <w:tcW w:w="1118" w:type="pct"/>
            <w:tcBorders>
              <w:left w:val="single" w:sz="8" w:space="0" w:color="7BA0CD" w:themeColor="accent1" w:themeTint="BF"/>
              <w:right w:val="single" w:sz="8" w:space="0" w:color="7BA0CD" w:themeColor="accent1" w:themeTint="BF"/>
            </w:tcBorders>
            <w:vAlign w:val="center"/>
          </w:tcPr>
          <w:p w14:paraId="3B174C83" w14:textId="49CBFC08" w:rsidR="003C4A7C" w:rsidRPr="00A4174B"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151 </w:t>
            </w:r>
          </w:p>
        </w:tc>
        <w:tc>
          <w:tcPr>
            <w:tcW w:w="1117" w:type="pct"/>
            <w:tcBorders>
              <w:left w:val="single" w:sz="8" w:space="0" w:color="7BA0CD" w:themeColor="accent1" w:themeTint="BF"/>
            </w:tcBorders>
            <w:vAlign w:val="center"/>
          </w:tcPr>
          <w:p w14:paraId="07DF15B6" w14:textId="31909347" w:rsidR="003C4A7C" w:rsidRPr="00A4174B"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2%</w:t>
            </w:r>
          </w:p>
        </w:tc>
      </w:tr>
      <w:tr w:rsidR="003C4A7C" w:rsidRPr="00385CCF" w14:paraId="6DEFD2D3"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55B04AF0" w14:textId="126ED281" w:rsidR="003C4A7C" w:rsidRDefault="003C4A7C" w:rsidP="003C4A7C">
            <w:pPr>
              <w:pStyle w:val="Tablenormalleft"/>
              <w:jc w:val="left"/>
            </w:pPr>
            <w:r w:rsidRPr="00763F5D">
              <w:t>Clovis Community College</w:t>
            </w:r>
          </w:p>
        </w:tc>
        <w:tc>
          <w:tcPr>
            <w:tcW w:w="1118" w:type="pct"/>
            <w:tcBorders>
              <w:left w:val="single" w:sz="8" w:space="0" w:color="7BA0CD" w:themeColor="accent1" w:themeTint="BF"/>
              <w:right w:val="single" w:sz="8" w:space="0" w:color="7BA0CD" w:themeColor="accent1" w:themeTint="BF"/>
            </w:tcBorders>
            <w:vAlign w:val="center"/>
          </w:tcPr>
          <w:p w14:paraId="6737B832" w14:textId="408E4BD2" w:rsidR="003C4A7C" w:rsidRPr="00A4174B"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46 </w:t>
            </w:r>
          </w:p>
        </w:tc>
        <w:tc>
          <w:tcPr>
            <w:tcW w:w="1117" w:type="pct"/>
            <w:tcBorders>
              <w:left w:val="single" w:sz="8" w:space="0" w:color="7BA0CD" w:themeColor="accent1" w:themeTint="BF"/>
            </w:tcBorders>
            <w:vAlign w:val="center"/>
          </w:tcPr>
          <w:p w14:paraId="5FA23C4A" w14:textId="2DFF9088" w:rsidR="003C4A7C" w:rsidRPr="00A4174B"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1%</w:t>
            </w:r>
          </w:p>
        </w:tc>
      </w:tr>
      <w:tr w:rsidR="003C4A7C" w:rsidRPr="00385CCF" w14:paraId="1ECE46CE"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333A687A" w14:textId="405871B2" w:rsidR="003C4A7C" w:rsidRDefault="003C4A7C" w:rsidP="003C4A7C">
            <w:pPr>
              <w:pStyle w:val="Tablenormalleft"/>
              <w:jc w:val="left"/>
            </w:pPr>
            <w:r w:rsidRPr="00763F5D">
              <w:t>College of the Sequoias</w:t>
            </w:r>
          </w:p>
        </w:tc>
        <w:tc>
          <w:tcPr>
            <w:tcW w:w="1118" w:type="pct"/>
            <w:tcBorders>
              <w:left w:val="single" w:sz="8" w:space="0" w:color="7BA0CD" w:themeColor="accent1" w:themeTint="BF"/>
              <w:right w:val="single" w:sz="8" w:space="0" w:color="7BA0CD" w:themeColor="accent1" w:themeTint="BF"/>
            </w:tcBorders>
            <w:vAlign w:val="center"/>
          </w:tcPr>
          <w:p w14:paraId="62C6F1E0" w14:textId="1C0E8DA9" w:rsidR="003C4A7C" w:rsidRPr="00A4174B"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461 </w:t>
            </w:r>
          </w:p>
        </w:tc>
        <w:tc>
          <w:tcPr>
            <w:tcW w:w="1117" w:type="pct"/>
            <w:tcBorders>
              <w:left w:val="single" w:sz="8" w:space="0" w:color="7BA0CD" w:themeColor="accent1" w:themeTint="BF"/>
            </w:tcBorders>
            <w:vAlign w:val="center"/>
          </w:tcPr>
          <w:p w14:paraId="053A0B40" w14:textId="755D579F" w:rsidR="003C4A7C" w:rsidRPr="00A4174B"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6%</w:t>
            </w:r>
          </w:p>
        </w:tc>
      </w:tr>
      <w:tr w:rsidR="003C4A7C" w:rsidRPr="00385CCF" w14:paraId="413947AA"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48278629" w14:textId="18F756B1" w:rsidR="003C4A7C" w:rsidRPr="00420C72" w:rsidRDefault="003C4A7C" w:rsidP="003C4A7C">
            <w:pPr>
              <w:pStyle w:val="Tablenormalleft"/>
              <w:jc w:val="left"/>
              <w:rPr>
                <w:b/>
              </w:rPr>
            </w:pPr>
            <w:r w:rsidRPr="00763F5D">
              <w:t>Estes Institute of Cosmetology Arts and Science</w:t>
            </w:r>
          </w:p>
        </w:tc>
        <w:tc>
          <w:tcPr>
            <w:tcW w:w="1118" w:type="pct"/>
            <w:tcBorders>
              <w:left w:val="single" w:sz="8" w:space="0" w:color="7BA0CD" w:themeColor="accent1" w:themeTint="BF"/>
              <w:right w:val="single" w:sz="8" w:space="0" w:color="7BA0CD" w:themeColor="accent1" w:themeTint="BF"/>
            </w:tcBorders>
            <w:vAlign w:val="center"/>
          </w:tcPr>
          <w:p w14:paraId="2F529CDA" w14:textId="63C57561" w:rsidR="003C4A7C" w:rsidRPr="00420C72" w:rsidRDefault="003C4A7C" w:rsidP="003C4A7C">
            <w:pPr>
              <w:pStyle w:val="Tablenormalright"/>
              <w:cnfStyle w:val="000000100000" w:firstRow="0" w:lastRow="0" w:firstColumn="0" w:lastColumn="0" w:oddVBand="0" w:evenVBand="0" w:oddHBand="1" w:evenHBand="0" w:firstRowFirstColumn="0" w:firstRowLastColumn="0" w:lastRowFirstColumn="0" w:lastRowLastColumn="0"/>
              <w:rPr>
                <w:b/>
              </w:rPr>
            </w:pPr>
            <w:r w:rsidRPr="00763F5D">
              <w:t xml:space="preserve"> 78 </w:t>
            </w:r>
          </w:p>
        </w:tc>
        <w:tc>
          <w:tcPr>
            <w:tcW w:w="1117" w:type="pct"/>
            <w:tcBorders>
              <w:left w:val="single" w:sz="8" w:space="0" w:color="7BA0CD" w:themeColor="accent1" w:themeTint="BF"/>
            </w:tcBorders>
            <w:vAlign w:val="center"/>
          </w:tcPr>
          <w:p w14:paraId="0F581564" w14:textId="2934E31B" w:rsidR="003C4A7C" w:rsidRPr="00420C72" w:rsidRDefault="003C4A7C" w:rsidP="003C4A7C">
            <w:pPr>
              <w:pStyle w:val="Tablenormalright"/>
              <w:cnfStyle w:val="000000100000" w:firstRow="0" w:lastRow="0" w:firstColumn="0" w:lastColumn="0" w:oddVBand="0" w:evenVBand="0" w:oddHBand="1" w:evenHBand="0" w:firstRowFirstColumn="0" w:firstRowLastColumn="0" w:lastRowFirstColumn="0" w:lastRowLastColumn="0"/>
              <w:rPr>
                <w:b/>
              </w:rPr>
            </w:pPr>
            <w:r w:rsidRPr="00763F5D">
              <w:t>1%</w:t>
            </w:r>
          </w:p>
        </w:tc>
      </w:tr>
      <w:tr w:rsidR="003C4A7C" w:rsidRPr="00385CCF" w14:paraId="031AF7B1"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17BB85DD" w14:textId="6CF9469E" w:rsidR="003C4A7C" w:rsidRDefault="003C4A7C" w:rsidP="003C4A7C">
            <w:pPr>
              <w:pStyle w:val="Tablenormalleft"/>
              <w:jc w:val="left"/>
            </w:pPr>
            <w:r w:rsidRPr="00763F5D">
              <w:t>Fresno City College</w:t>
            </w:r>
          </w:p>
        </w:tc>
        <w:tc>
          <w:tcPr>
            <w:tcW w:w="1118" w:type="pct"/>
            <w:tcBorders>
              <w:left w:val="single" w:sz="8" w:space="0" w:color="7BA0CD" w:themeColor="accent1" w:themeTint="BF"/>
              <w:right w:val="single" w:sz="8" w:space="0" w:color="7BA0CD" w:themeColor="accent1" w:themeTint="BF"/>
            </w:tcBorders>
            <w:vAlign w:val="center"/>
          </w:tcPr>
          <w:p w14:paraId="100B2922" w14:textId="32170400" w:rsidR="003C4A7C" w:rsidRPr="00A4174B"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1,331 </w:t>
            </w:r>
          </w:p>
        </w:tc>
        <w:tc>
          <w:tcPr>
            <w:tcW w:w="1117" w:type="pct"/>
            <w:tcBorders>
              <w:left w:val="single" w:sz="8" w:space="0" w:color="7BA0CD" w:themeColor="accent1" w:themeTint="BF"/>
            </w:tcBorders>
            <w:vAlign w:val="center"/>
          </w:tcPr>
          <w:p w14:paraId="1735B986" w14:textId="38013D5B" w:rsidR="003C4A7C" w:rsidRPr="00A4174B"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17%</w:t>
            </w:r>
          </w:p>
        </w:tc>
      </w:tr>
      <w:tr w:rsidR="003C4A7C" w:rsidRPr="00385CCF" w14:paraId="76B04094"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1DCD22B7" w14:textId="229B9F3B" w:rsidR="003C4A7C" w:rsidRDefault="003C4A7C" w:rsidP="003C4A7C">
            <w:pPr>
              <w:pStyle w:val="Tablenormalleft"/>
              <w:jc w:val="left"/>
            </w:pPr>
            <w:r w:rsidRPr="00763F5D">
              <w:t>Galen College of Medical and Dental Assistants</w:t>
            </w:r>
          </w:p>
        </w:tc>
        <w:tc>
          <w:tcPr>
            <w:tcW w:w="1118" w:type="pct"/>
            <w:tcBorders>
              <w:left w:val="single" w:sz="8" w:space="0" w:color="7BA0CD" w:themeColor="accent1" w:themeTint="BF"/>
              <w:right w:val="single" w:sz="8" w:space="0" w:color="7BA0CD" w:themeColor="accent1" w:themeTint="BF"/>
            </w:tcBorders>
            <w:vAlign w:val="center"/>
          </w:tcPr>
          <w:p w14:paraId="61B99B4C" w14:textId="473865BD" w:rsidR="003C4A7C" w:rsidRPr="00A4174B"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57 </w:t>
            </w:r>
          </w:p>
        </w:tc>
        <w:tc>
          <w:tcPr>
            <w:tcW w:w="1117" w:type="pct"/>
            <w:tcBorders>
              <w:left w:val="single" w:sz="8" w:space="0" w:color="7BA0CD" w:themeColor="accent1" w:themeTint="BF"/>
            </w:tcBorders>
            <w:vAlign w:val="center"/>
          </w:tcPr>
          <w:p w14:paraId="2887A421" w14:textId="59A3CC31" w:rsidR="003C4A7C" w:rsidRPr="00A4174B"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1%</w:t>
            </w:r>
          </w:p>
        </w:tc>
      </w:tr>
      <w:tr w:rsidR="003C4A7C" w:rsidRPr="00385CCF" w14:paraId="541E75A9"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63A86FCB" w14:textId="7BDD470B" w:rsidR="003C4A7C" w:rsidRDefault="003C4A7C" w:rsidP="003C4A7C">
            <w:pPr>
              <w:pStyle w:val="Tablenormalleft"/>
              <w:jc w:val="left"/>
            </w:pPr>
            <w:r w:rsidRPr="00763F5D">
              <w:t>Heald College-Fresno</w:t>
            </w:r>
          </w:p>
        </w:tc>
        <w:tc>
          <w:tcPr>
            <w:tcW w:w="1118" w:type="pct"/>
            <w:tcBorders>
              <w:left w:val="single" w:sz="8" w:space="0" w:color="7BA0CD" w:themeColor="accent1" w:themeTint="BF"/>
              <w:right w:val="single" w:sz="8" w:space="0" w:color="7BA0CD" w:themeColor="accent1" w:themeTint="BF"/>
            </w:tcBorders>
            <w:vAlign w:val="center"/>
          </w:tcPr>
          <w:p w14:paraId="4FD5B090" w14:textId="72FB69A1" w:rsidR="003C4A7C" w:rsidRPr="00A4174B"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19 </w:t>
            </w:r>
          </w:p>
        </w:tc>
        <w:tc>
          <w:tcPr>
            <w:tcW w:w="1117" w:type="pct"/>
            <w:tcBorders>
              <w:left w:val="single" w:sz="8" w:space="0" w:color="7BA0CD" w:themeColor="accent1" w:themeTint="BF"/>
            </w:tcBorders>
            <w:vAlign w:val="center"/>
          </w:tcPr>
          <w:p w14:paraId="53E35AC7" w14:textId="32103043" w:rsidR="003C4A7C" w:rsidRPr="00A4174B"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0%</w:t>
            </w:r>
          </w:p>
        </w:tc>
      </w:tr>
      <w:tr w:rsidR="003C4A7C" w:rsidRPr="00385CCF" w14:paraId="19B0C1BB"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49491C6F" w14:textId="32184E09" w:rsidR="003C4A7C" w:rsidRDefault="003C4A7C" w:rsidP="003C4A7C">
            <w:pPr>
              <w:pStyle w:val="Tablenormalleft"/>
              <w:jc w:val="left"/>
            </w:pPr>
            <w:r w:rsidRPr="00763F5D">
              <w:t>Institute of Technology Inc</w:t>
            </w:r>
          </w:p>
        </w:tc>
        <w:tc>
          <w:tcPr>
            <w:tcW w:w="1118" w:type="pct"/>
            <w:tcBorders>
              <w:left w:val="single" w:sz="8" w:space="0" w:color="7BA0CD" w:themeColor="accent1" w:themeTint="BF"/>
              <w:right w:val="single" w:sz="8" w:space="0" w:color="7BA0CD" w:themeColor="accent1" w:themeTint="BF"/>
            </w:tcBorders>
            <w:vAlign w:val="center"/>
          </w:tcPr>
          <w:p w14:paraId="14D4AC5D" w14:textId="697684FC"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1,901 </w:t>
            </w:r>
          </w:p>
        </w:tc>
        <w:tc>
          <w:tcPr>
            <w:tcW w:w="1117" w:type="pct"/>
            <w:tcBorders>
              <w:left w:val="single" w:sz="8" w:space="0" w:color="7BA0CD" w:themeColor="accent1" w:themeTint="BF"/>
            </w:tcBorders>
            <w:vAlign w:val="center"/>
          </w:tcPr>
          <w:p w14:paraId="3DE51DB0" w14:textId="02D8AFF6"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24%</w:t>
            </w:r>
          </w:p>
        </w:tc>
      </w:tr>
      <w:tr w:rsidR="003C4A7C" w:rsidRPr="00385CCF" w14:paraId="29301BCF"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3F959CFF" w14:textId="4DE31FDF" w:rsidR="003C4A7C" w:rsidRDefault="003C4A7C" w:rsidP="003C4A7C">
            <w:pPr>
              <w:pStyle w:val="Tablenormalleft"/>
              <w:jc w:val="left"/>
            </w:pPr>
            <w:r w:rsidRPr="00763F5D">
              <w:t>Kaplan College-Fresno</w:t>
            </w:r>
          </w:p>
        </w:tc>
        <w:tc>
          <w:tcPr>
            <w:tcW w:w="1118" w:type="pct"/>
            <w:tcBorders>
              <w:left w:val="single" w:sz="8" w:space="0" w:color="7BA0CD" w:themeColor="accent1" w:themeTint="BF"/>
              <w:right w:val="single" w:sz="8" w:space="0" w:color="7BA0CD" w:themeColor="accent1" w:themeTint="BF"/>
            </w:tcBorders>
            <w:vAlign w:val="center"/>
          </w:tcPr>
          <w:p w14:paraId="69B4C28B" w14:textId="1D4A8E00"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316 </w:t>
            </w:r>
          </w:p>
        </w:tc>
        <w:tc>
          <w:tcPr>
            <w:tcW w:w="1117" w:type="pct"/>
            <w:tcBorders>
              <w:left w:val="single" w:sz="8" w:space="0" w:color="7BA0CD" w:themeColor="accent1" w:themeTint="BF"/>
            </w:tcBorders>
            <w:vAlign w:val="center"/>
          </w:tcPr>
          <w:p w14:paraId="56983B84" w14:textId="50365444"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4%</w:t>
            </w:r>
          </w:p>
        </w:tc>
      </w:tr>
      <w:tr w:rsidR="003C4A7C" w:rsidRPr="00385CCF" w14:paraId="042618B9"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6C8F5CBE" w14:textId="4F4B8C5E" w:rsidR="003C4A7C" w:rsidRDefault="003C4A7C" w:rsidP="003C4A7C">
            <w:pPr>
              <w:pStyle w:val="Tablenormalleft"/>
              <w:jc w:val="left"/>
            </w:pPr>
            <w:r w:rsidRPr="00763F5D">
              <w:t>Lyles Fresno College of Beauty</w:t>
            </w:r>
          </w:p>
        </w:tc>
        <w:tc>
          <w:tcPr>
            <w:tcW w:w="1118" w:type="pct"/>
            <w:tcBorders>
              <w:left w:val="single" w:sz="8" w:space="0" w:color="7BA0CD" w:themeColor="accent1" w:themeTint="BF"/>
              <w:right w:val="single" w:sz="8" w:space="0" w:color="7BA0CD" w:themeColor="accent1" w:themeTint="BF"/>
            </w:tcBorders>
            <w:vAlign w:val="center"/>
          </w:tcPr>
          <w:p w14:paraId="52E5E021" w14:textId="2054DFEC"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37 </w:t>
            </w:r>
          </w:p>
        </w:tc>
        <w:tc>
          <w:tcPr>
            <w:tcW w:w="1117" w:type="pct"/>
            <w:tcBorders>
              <w:left w:val="single" w:sz="8" w:space="0" w:color="7BA0CD" w:themeColor="accent1" w:themeTint="BF"/>
            </w:tcBorders>
            <w:vAlign w:val="center"/>
          </w:tcPr>
          <w:p w14:paraId="57D43C9C" w14:textId="731F182E"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0%</w:t>
            </w:r>
          </w:p>
        </w:tc>
      </w:tr>
      <w:tr w:rsidR="003C4A7C" w:rsidRPr="00385CCF" w14:paraId="69752756"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748AC34F" w14:textId="0AEF8670" w:rsidR="003C4A7C" w:rsidRDefault="003C4A7C" w:rsidP="003C4A7C">
            <w:pPr>
              <w:pStyle w:val="Tablenormalleft"/>
              <w:jc w:val="left"/>
            </w:pPr>
            <w:r w:rsidRPr="00763F5D">
              <w:t>Madera Beauty College</w:t>
            </w:r>
          </w:p>
        </w:tc>
        <w:tc>
          <w:tcPr>
            <w:tcW w:w="1118" w:type="pct"/>
            <w:tcBorders>
              <w:left w:val="single" w:sz="8" w:space="0" w:color="7BA0CD" w:themeColor="accent1" w:themeTint="BF"/>
              <w:right w:val="single" w:sz="8" w:space="0" w:color="7BA0CD" w:themeColor="accent1" w:themeTint="BF"/>
            </w:tcBorders>
            <w:vAlign w:val="center"/>
          </w:tcPr>
          <w:p w14:paraId="0A73B28D" w14:textId="2205358E"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38 </w:t>
            </w:r>
          </w:p>
        </w:tc>
        <w:tc>
          <w:tcPr>
            <w:tcW w:w="1117" w:type="pct"/>
            <w:tcBorders>
              <w:left w:val="single" w:sz="8" w:space="0" w:color="7BA0CD" w:themeColor="accent1" w:themeTint="BF"/>
            </w:tcBorders>
            <w:vAlign w:val="center"/>
          </w:tcPr>
          <w:p w14:paraId="139580A6" w14:textId="3CE44B46"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0%</w:t>
            </w:r>
          </w:p>
        </w:tc>
      </w:tr>
      <w:tr w:rsidR="003C4A7C" w:rsidRPr="00385CCF" w14:paraId="14A0D1BF"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32DA804A" w14:textId="1D28893C" w:rsidR="003C4A7C" w:rsidRDefault="003C4A7C" w:rsidP="003C4A7C">
            <w:pPr>
              <w:pStyle w:val="Tablenormalleft"/>
              <w:jc w:val="left"/>
            </w:pPr>
            <w:r w:rsidRPr="00763F5D">
              <w:t>Manchester Beauty College</w:t>
            </w:r>
          </w:p>
        </w:tc>
        <w:tc>
          <w:tcPr>
            <w:tcW w:w="1118" w:type="pct"/>
            <w:tcBorders>
              <w:left w:val="single" w:sz="8" w:space="0" w:color="7BA0CD" w:themeColor="accent1" w:themeTint="BF"/>
              <w:right w:val="single" w:sz="8" w:space="0" w:color="7BA0CD" w:themeColor="accent1" w:themeTint="BF"/>
            </w:tcBorders>
            <w:vAlign w:val="center"/>
          </w:tcPr>
          <w:p w14:paraId="03785BBF" w14:textId="37257D3E"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42 </w:t>
            </w:r>
          </w:p>
        </w:tc>
        <w:tc>
          <w:tcPr>
            <w:tcW w:w="1117" w:type="pct"/>
            <w:tcBorders>
              <w:left w:val="single" w:sz="8" w:space="0" w:color="7BA0CD" w:themeColor="accent1" w:themeTint="BF"/>
            </w:tcBorders>
            <w:vAlign w:val="center"/>
          </w:tcPr>
          <w:p w14:paraId="3B645F17" w14:textId="34428113"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1%</w:t>
            </w:r>
          </w:p>
        </w:tc>
      </w:tr>
      <w:tr w:rsidR="003C4A7C" w:rsidRPr="00385CCF" w14:paraId="365A235B"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3B9A0F03" w14:textId="765E8FAA" w:rsidR="003C4A7C" w:rsidRDefault="003C4A7C" w:rsidP="003C4A7C">
            <w:pPr>
              <w:pStyle w:val="Tablenormalleft"/>
              <w:jc w:val="left"/>
            </w:pPr>
            <w:r w:rsidRPr="00763F5D">
              <w:t>Milan Institute of Cosmetology-Visalia</w:t>
            </w:r>
          </w:p>
        </w:tc>
        <w:tc>
          <w:tcPr>
            <w:tcW w:w="1118" w:type="pct"/>
            <w:tcBorders>
              <w:left w:val="single" w:sz="8" w:space="0" w:color="7BA0CD" w:themeColor="accent1" w:themeTint="BF"/>
              <w:right w:val="single" w:sz="8" w:space="0" w:color="7BA0CD" w:themeColor="accent1" w:themeTint="BF"/>
            </w:tcBorders>
            <w:vAlign w:val="center"/>
          </w:tcPr>
          <w:p w14:paraId="203EAAF4" w14:textId="24BA5DD4"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135 </w:t>
            </w:r>
          </w:p>
        </w:tc>
        <w:tc>
          <w:tcPr>
            <w:tcW w:w="1117" w:type="pct"/>
            <w:tcBorders>
              <w:left w:val="single" w:sz="8" w:space="0" w:color="7BA0CD" w:themeColor="accent1" w:themeTint="BF"/>
            </w:tcBorders>
            <w:vAlign w:val="center"/>
          </w:tcPr>
          <w:p w14:paraId="1F310359" w14:textId="1CAE453E"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2%</w:t>
            </w:r>
          </w:p>
        </w:tc>
      </w:tr>
      <w:tr w:rsidR="003C4A7C" w:rsidRPr="00385CCF" w14:paraId="145020AA"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0DD8FB3E" w14:textId="64A309FA" w:rsidR="003C4A7C" w:rsidRDefault="003C4A7C" w:rsidP="003C4A7C">
            <w:pPr>
              <w:pStyle w:val="Tablenormalleft"/>
              <w:jc w:val="left"/>
            </w:pPr>
            <w:r w:rsidRPr="00763F5D">
              <w:t>Milan Institute-Clovis</w:t>
            </w:r>
          </w:p>
        </w:tc>
        <w:tc>
          <w:tcPr>
            <w:tcW w:w="1118" w:type="pct"/>
            <w:tcBorders>
              <w:left w:val="single" w:sz="8" w:space="0" w:color="7BA0CD" w:themeColor="accent1" w:themeTint="BF"/>
              <w:right w:val="single" w:sz="8" w:space="0" w:color="7BA0CD" w:themeColor="accent1" w:themeTint="BF"/>
            </w:tcBorders>
            <w:vAlign w:val="center"/>
          </w:tcPr>
          <w:p w14:paraId="582B3B89" w14:textId="5DC2AD56"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256 </w:t>
            </w:r>
          </w:p>
        </w:tc>
        <w:tc>
          <w:tcPr>
            <w:tcW w:w="1117" w:type="pct"/>
            <w:tcBorders>
              <w:left w:val="single" w:sz="8" w:space="0" w:color="7BA0CD" w:themeColor="accent1" w:themeTint="BF"/>
            </w:tcBorders>
            <w:vAlign w:val="center"/>
          </w:tcPr>
          <w:p w14:paraId="0D97D196" w14:textId="10809D34"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3%</w:t>
            </w:r>
          </w:p>
        </w:tc>
      </w:tr>
      <w:tr w:rsidR="003C4A7C" w:rsidRPr="00385CCF" w14:paraId="397C58E9"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03540B37" w14:textId="311B8904" w:rsidR="003C4A7C" w:rsidRDefault="003C4A7C" w:rsidP="003C4A7C">
            <w:pPr>
              <w:pStyle w:val="Tablenormalleft"/>
              <w:jc w:val="left"/>
            </w:pPr>
            <w:r w:rsidRPr="00763F5D">
              <w:t>Milan Institute-Visalia</w:t>
            </w:r>
          </w:p>
        </w:tc>
        <w:tc>
          <w:tcPr>
            <w:tcW w:w="1118" w:type="pct"/>
            <w:tcBorders>
              <w:left w:val="single" w:sz="8" w:space="0" w:color="7BA0CD" w:themeColor="accent1" w:themeTint="BF"/>
              <w:right w:val="single" w:sz="8" w:space="0" w:color="7BA0CD" w:themeColor="accent1" w:themeTint="BF"/>
            </w:tcBorders>
            <w:vAlign w:val="center"/>
          </w:tcPr>
          <w:p w14:paraId="4A3EE97D" w14:textId="08642FFB"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271 </w:t>
            </w:r>
          </w:p>
        </w:tc>
        <w:tc>
          <w:tcPr>
            <w:tcW w:w="1117" w:type="pct"/>
            <w:tcBorders>
              <w:left w:val="single" w:sz="8" w:space="0" w:color="7BA0CD" w:themeColor="accent1" w:themeTint="BF"/>
            </w:tcBorders>
            <w:vAlign w:val="center"/>
          </w:tcPr>
          <w:p w14:paraId="6A903634" w14:textId="06915547"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3%</w:t>
            </w:r>
          </w:p>
        </w:tc>
      </w:tr>
      <w:tr w:rsidR="003C4A7C" w:rsidRPr="00385CCF" w14:paraId="0AFD043A"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747BEB75" w14:textId="108134E6" w:rsidR="003C4A7C" w:rsidRDefault="003C4A7C" w:rsidP="003C4A7C">
            <w:pPr>
              <w:pStyle w:val="Tablenormalleft"/>
              <w:jc w:val="left"/>
            </w:pPr>
            <w:r w:rsidRPr="00763F5D">
              <w:t>Paul Mitchell the School-Fresno</w:t>
            </w:r>
          </w:p>
        </w:tc>
        <w:tc>
          <w:tcPr>
            <w:tcW w:w="1118" w:type="pct"/>
            <w:tcBorders>
              <w:left w:val="single" w:sz="8" w:space="0" w:color="7BA0CD" w:themeColor="accent1" w:themeTint="BF"/>
              <w:right w:val="single" w:sz="8" w:space="0" w:color="7BA0CD" w:themeColor="accent1" w:themeTint="BF"/>
            </w:tcBorders>
            <w:vAlign w:val="center"/>
          </w:tcPr>
          <w:p w14:paraId="5104D652" w14:textId="47D7268F"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84 </w:t>
            </w:r>
          </w:p>
        </w:tc>
        <w:tc>
          <w:tcPr>
            <w:tcW w:w="1117" w:type="pct"/>
            <w:tcBorders>
              <w:left w:val="single" w:sz="8" w:space="0" w:color="7BA0CD" w:themeColor="accent1" w:themeTint="BF"/>
            </w:tcBorders>
            <w:vAlign w:val="center"/>
          </w:tcPr>
          <w:p w14:paraId="419EFA81" w14:textId="23EF0EF9"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1%</w:t>
            </w:r>
          </w:p>
        </w:tc>
      </w:tr>
      <w:tr w:rsidR="003C4A7C" w:rsidRPr="00385CCF" w14:paraId="49CC676D"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6C31D7FE" w14:textId="251E23D3" w:rsidR="003C4A7C" w:rsidRDefault="003C4A7C" w:rsidP="003C4A7C">
            <w:pPr>
              <w:pStyle w:val="Tablenormalleft"/>
              <w:jc w:val="left"/>
            </w:pPr>
            <w:r w:rsidRPr="00763F5D">
              <w:t>Porterville College</w:t>
            </w:r>
          </w:p>
        </w:tc>
        <w:tc>
          <w:tcPr>
            <w:tcW w:w="1118" w:type="pct"/>
            <w:tcBorders>
              <w:left w:val="single" w:sz="8" w:space="0" w:color="7BA0CD" w:themeColor="accent1" w:themeTint="BF"/>
              <w:right w:val="single" w:sz="8" w:space="0" w:color="7BA0CD" w:themeColor="accent1" w:themeTint="BF"/>
            </w:tcBorders>
            <w:vAlign w:val="center"/>
          </w:tcPr>
          <w:p w14:paraId="4F38143F" w14:textId="1051266E"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109 </w:t>
            </w:r>
          </w:p>
        </w:tc>
        <w:tc>
          <w:tcPr>
            <w:tcW w:w="1117" w:type="pct"/>
            <w:tcBorders>
              <w:left w:val="single" w:sz="8" w:space="0" w:color="7BA0CD" w:themeColor="accent1" w:themeTint="BF"/>
            </w:tcBorders>
            <w:vAlign w:val="center"/>
          </w:tcPr>
          <w:p w14:paraId="356DA129" w14:textId="143BF619"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1%</w:t>
            </w:r>
          </w:p>
        </w:tc>
      </w:tr>
      <w:tr w:rsidR="003C4A7C" w:rsidRPr="00385CCF" w14:paraId="099999E0"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1749FA43" w14:textId="5B5CD008" w:rsidR="003C4A7C" w:rsidRDefault="003C4A7C" w:rsidP="003C4A7C">
            <w:pPr>
              <w:pStyle w:val="Tablenormalleft"/>
              <w:jc w:val="left"/>
            </w:pPr>
            <w:r w:rsidRPr="00763F5D">
              <w:t>Proteus</w:t>
            </w:r>
          </w:p>
        </w:tc>
        <w:tc>
          <w:tcPr>
            <w:tcW w:w="1118" w:type="pct"/>
            <w:tcBorders>
              <w:left w:val="single" w:sz="8" w:space="0" w:color="7BA0CD" w:themeColor="accent1" w:themeTint="BF"/>
              <w:right w:val="single" w:sz="8" w:space="0" w:color="7BA0CD" w:themeColor="accent1" w:themeTint="BF"/>
            </w:tcBorders>
            <w:vAlign w:val="center"/>
          </w:tcPr>
          <w:p w14:paraId="0C129E48" w14:textId="12A5B088"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31 </w:t>
            </w:r>
          </w:p>
        </w:tc>
        <w:tc>
          <w:tcPr>
            <w:tcW w:w="1117" w:type="pct"/>
            <w:tcBorders>
              <w:left w:val="single" w:sz="8" w:space="0" w:color="7BA0CD" w:themeColor="accent1" w:themeTint="BF"/>
            </w:tcBorders>
            <w:vAlign w:val="center"/>
          </w:tcPr>
          <w:p w14:paraId="414EDDA3" w14:textId="7971FAEA"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0%</w:t>
            </w:r>
          </w:p>
        </w:tc>
      </w:tr>
      <w:tr w:rsidR="003C4A7C" w:rsidRPr="003C4A7C" w14:paraId="384F1DAF"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7CB6C18A" w14:textId="54351193" w:rsidR="003C4A7C" w:rsidRPr="003C4A7C" w:rsidRDefault="006C38C7" w:rsidP="003C4A7C">
            <w:pPr>
              <w:pStyle w:val="Tablenormalleft"/>
              <w:jc w:val="left"/>
              <w:rPr>
                <w:b/>
              </w:rPr>
            </w:pPr>
            <w:r>
              <w:rPr>
                <w:b/>
              </w:rPr>
              <w:t>Clovis</w:t>
            </w:r>
            <w:r w:rsidR="003C4A7C" w:rsidRPr="003C4A7C">
              <w:rPr>
                <w:b/>
              </w:rPr>
              <w:t xml:space="preserve"> College</w:t>
            </w:r>
          </w:p>
        </w:tc>
        <w:tc>
          <w:tcPr>
            <w:tcW w:w="1118" w:type="pct"/>
            <w:tcBorders>
              <w:left w:val="single" w:sz="8" w:space="0" w:color="7BA0CD" w:themeColor="accent1" w:themeTint="BF"/>
              <w:right w:val="single" w:sz="8" w:space="0" w:color="7BA0CD" w:themeColor="accent1" w:themeTint="BF"/>
            </w:tcBorders>
            <w:vAlign w:val="center"/>
          </w:tcPr>
          <w:p w14:paraId="0A2BB695" w14:textId="21FE38F0" w:rsidR="003C4A7C" w:rsidRPr="003C4A7C" w:rsidRDefault="003C4A7C" w:rsidP="003C4A7C">
            <w:pPr>
              <w:pStyle w:val="Tablenormalright"/>
              <w:cnfStyle w:val="000000010000" w:firstRow="0" w:lastRow="0" w:firstColumn="0" w:lastColumn="0" w:oddVBand="0" w:evenVBand="0" w:oddHBand="0" w:evenHBand="1" w:firstRowFirstColumn="0" w:firstRowLastColumn="0" w:lastRowFirstColumn="0" w:lastRowLastColumn="0"/>
              <w:rPr>
                <w:b/>
              </w:rPr>
            </w:pPr>
            <w:r w:rsidRPr="003C4A7C">
              <w:rPr>
                <w:b/>
              </w:rPr>
              <w:t xml:space="preserve"> 853 </w:t>
            </w:r>
          </w:p>
        </w:tc>
        <w:tc>
          <w:tcPr>
            <w:tcW w:w="1117" w:type="pct"/>
            <w:tcBorders>
              <w:left w:val="single" w:sz="8" w:space="0" w:color="7BA0CD" w:themeColor="accent1" w:themeTint="BF"/>
            </w:tcBorders>
            <w:vAlign w:val="center"/>
          </w:tcPr>
          <w:p w14:paraId="4A0837BD" w14:textId="30DB18EB" w:rsidR="003C4A7C" w:rsidRPr="003C4A7C" w:rsidRDefault="003C4A7C" w:rsidP="003C4A7C">
            <w:pPr>
              <w:pStyle w:val="Tablenormalright"/>
              <w:cnfStyle w:val="000000010000" w:firstRow="0" w:lastRow="0" w:firstColumn="0" w:lastColumn="0" w:oddVBand="0" w:evenVBand="0" w:oddHBand="0" w:evenHBand="1" w:firstRowFirstColumn="0" w:firstRowLastColumn="0" w:lastRowFirstColumn="0" w:lastRowLastColumn="0"/>
              <w:rPr>
                <w:b/>
              </w:rPr>
            </w:pPr>
            <w:r w:rsidRPr="003C4A7C">
              <w:rPr>
                <w:b/>
              </w:rPr>
              <w:t>11%</w:t>
            </w:r>
          </w:p>
        </w:tc>
      </w:tr>
      <w:tr w:rsidR="003C4A7C" w:rsidRPr="00385CCF" w14:paraId="3C996DFB"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3D89D8DC" w14:textId="6057BF05" w:rsidR="003C4A7C" w:rsidRDefault="003C4A7C" w:rsidP="003C4A7C">
            <w:pPr>
              <w:pStyle w:val="Tablenormalleft"/>
              <w:jc w:val="left"/>
            </w:pPr>
            <w:r w:rsidRPr="00763F5D">
              <w:t>San Joaquin Valley College-Fresno</w:t>
            </w:r>
          </w:p>
        </w:tc>
        <w:tc>
          <w:tcPr>
            <w:tcW w:w="1118" w:type="pct"/>
            <w:tcBorders>
              <w:left w:val="single" w:sz="8" w:space="0" w:color="7BA0CD" w:themeColor="accent1" w:themeTint="BF"/>
              <w:right w:val="single" w:sz="8" w:space="0" w:color="7BA0CD" w:themeColor="accent1" w:themeTint="BF"/>
            </w:tcBorders>
            <w:vAlign w:val="center"/>
          </w:tcPr>
          <w:p w14:paraId="6C5149C2" w14:textId="2147FFE1"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88 </w:t>
            </w:r>
          </w:p>
        </w:tc>
        <w:tc>
          <w:tcPr>
            <w:tcW w:w="1117" w:type="pct"/>
            <w:tcBorders>
              <w:left w:val="single" w:sz="8" w:space="0" w:color="7BA0CD" w:themeColor="accent1" w:themeTint="BF"/>
            </w:tcBorders>
            <w:vAlign w:val="center"/>
          </w:tcPr>
          <w:p w14:paraId="05878F84" w14:textId="62302524"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1%</w:t>
            </w:r>
          </w:p>
        </w:tc>
      </w:tr>
      <w:tr w:rsidR="003C4A7C" w:rsidRPr="00385CCF" w14:paraId="2C82A1B6"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0200AC4B" w14:textId="6C0DBE14" w:rsidR="003C4A7C" w:rsidRDefault="003C4A7C" w:rsidP="003C4A7C">
            <w:pPr>
              <w:pStyle w:val="Tablenormalleft"/>
              <w:jc w:val="left"/>
            </w:pPr>
            <w:r w:rsidRPr="00763F5D">
              <w:t>San Joaquin Valley College-Online</w:t>
            </w:r>
          </w:p>
        </w:tc>
        <w:tc>
          <w:tcPr>
            <w:tcW w:w="1118" w:type="pct"/>
            <w:tcBorders>
              <w:left w:val="single" w:sz="8" w:space="0" w:color="7BA0CD" w:themeColor="accent1" w:themeTint="BF"/>
              <w:right w:val="single" w:sz="8" w:space="0" w:color="7BA0CD" w:themeColor="accent1" w:themeTint="BF"/>
            </w:tcBorders>
            <w:vAlign w:val="center"/>
          </w:tcPr>
          <w:p w14:paraId="6EDE6779" w14:textId="6641E399"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116 </w:t>
            </w:r>
          </w:p>
        </w:tc>
        <w:tc>
          <w:tcPr>
            <w:tcW w:w="1117" w:type="pct"/>
            <w:tcBorders>
              <w:left w:val="single" w:sz="8" w:space="0" w:color="7BA0CD" w:themeColor="accent1" w:themeTint="BF"/>
            </w:tcBorders>
            <w:vAlign w:val="center"/>
          </w:tcPr>
          <w:p w14:paraId="65348FEF" w14:textId="08C558CD"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1%</w:t>
            </w:r>
          </w:p>
        </w:tc>
      </w:tr>
      <w:tr w:rsidR="003C4A7C" w:rsidRPr="00385CCF" w14:paraId="339D0C33"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6493DA69" w14:textId="15EC5963" w:rsidR="003C4A7C" w:rsidRDefault="003C4A7C" w:rsidP="003C4A7C">
            <w:pPr>
              <w:pStyle w:val="Tablenormalleft"/>
              <w:jc w:val="left"/>
            </w:pPr>
            <w:r w:rsidRPr="00763F5D">
              <w:t>San Joaquin Valley College-Visalia</w:t>
            </w:r>
          </w:p>
        </w:tc>
        <w:tc>
          <w:tcPr>
            <w:tcW w:w="1118" w:type="pct"/>
            <w:tcBorders>
              <w:left w:val="single" w:sz="8" w:space="0" w:color="7BA0CD" w:themeColor="accent1" w:themeTint="BF"/>
              <w:right w:val="single" w:sz="8" w:space="0" w:color="7BA0CD" w:themeColor="accent1" w:themeTint="BF"/>
            </w:tcBorders>
            <w:vAlign w:val="center"/>
          </w:tcPr>
          <w:p w14:paraId="172EE057" w14:textId="272DE530"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343 </w:t>
            </w:r>
          </w:p>
        </w:tc>
        <w:tc>
          <w:tcPr>
            <w:tcW w:w="1117" w:type="pct"/>
            <w:tcBorders>
              <w:left w:val="single" w:sz="8" w:space="0" w:color="7BA0CD" w:themeColor="accent1" w:themeTint="BF"/>
            </w:tcBorders>
            <w:vAlign w:val="center"/>
          </w:tcPr>
          <w:p w14:paraId="7C61162F" w14:textId="26BE1B16"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4%</w:t>
            </w:r>
          </w:p>
        </w:tc>
      </w:tr>
      <w:tr w:rsidR="003C4A7C" w:rsidRPr="00385CCF" w14:paraId="7F49FD71"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6925420D" w14:textId="6621DAC1" w:rsidR="003C4A7C" w:rsidRDefault="003C4A7C" w:rsidP="003C4A7C">
            <w:pPr>
              <w:pStyle w:val="Tablenormalleft"/>
              <w:jc w:val="left"/>
            </w:pPr>
            <w:r w:rsidRPr="00763F5D">
              <w:t>Sierra Valley College of Court Reporting</w:t>
            </w:r>
          </w:p>
        </w:tc>
        <w:tc>
          <w:tcPr>
            <w:tcW w:w="1118" w:type="pct"/>
            <w:tcBorders>
              <w:left w:val="single" w:sz="8" w:space="0" w:color="7BA0CD" w:themeColor="accent1" w:themeTint="BF"/>
              <w:right w:val="single" w:sz="8" w:space="0" w:color="7BA0CD" w:themeColor="accent1" w:themeTint="BF"/>
            </w:tcBorders>
            <w:vAlign w:val="center"/>
          </w:tcPr>
          <w:p w14:paraId="5563E116" w14:textId="3BD20E0F"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8 </w:t>
            </w:r>
          </w:p>
        </w:tc>
        <w:tc>
          <w:tcPr>
            <w:tcW w:w="1117" w:type="pct"/>
            <w:tcBorders>
              <w:left w:val="single" w:sz="8" w:space="0" w:color="7BA0CD" w:themeColor="accent1" w:themeTint="BF"/>
            </w:tcBorders>
            <w:vAlign w:val="center"/>
          </w:tcPr>
          <w:p w14:paraId="73BEF1AA" w14:textId="0472172A"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0%</w:t>
            </w:r>
          </w:p>
        </w:tc>
      </w:tr>
      <w:tr w:rsidR="003C4A7C" w:rsidRPr="00385CCF" w14:paraId="0FC82343"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62CC898F" w14:textId="27EF6533" w:rsidR="003C4A7C" w:rsidRDefault="003C4A7C" w:rsidP="003C4A7C">
            <w:pPr>
              <w:pStyle w:val="Tablenormalleft"/>
              <w:jc w:val="left"/>
            </w:pPr>
            <w:r w:rsidRPr="00763F5D">
              <w:t>Tulare Beauty College</w:t>
            </w:r>
          </w:p>
        </w:tc>
        <w:tc>
          <w:tcPr>
            <w:tcW w:w="1118" w:type="pct"/>
            <w:tcBorders>
              <w:left w:val="single" w:sz="8" w:space="0" w:color="7BA0CD" w:themeColor="accent1" w:themeTint="BF"/>
              <w:right w:val="single" w:sz="8" w:space="0" w:color="7BA0CD" w:themeColor="accent1" w:themeTint="BF"/>
            </w:tcBorders>
            <w:vAlign w:val="center"/>
          </w:tcPr>
          <w:p w14:paraId="5BC62DD5" w14:textId="260A1F2F"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23 </w:t>
            </w:r>
          </w:p>
        </w:tc>
        <w:tc>
          <w:tcPr>
            <w:tcW w:w="1117" w:type="pct"/>
            <w:tcBorders>
              <w:left w:val="single" w:sz="8" w:space="0" w:color="7BA0CD" w:themeColor="accent1" w:themeTint="BF"/>
            </w:tcBorders>
            <w:vAlign w:val="center"/>
          </w:tcPr>
          <w:p w14:paraId="5CD91A05" w14:textId="6D5B16C1"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0%</w:t>
            </w:r>
          </w:p>
        </w:tc>
      </w:tr>
      <w:tr w:rsidR="003C4A7C" w:rsidRPr="00385CCF" w14:paraId="793BC0F6"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303F6C17" w14:textId="5A84CB4B" w:rsidR="003C4A7C" w:rsidRDefault="003C4A7C" w:rsidP="003C4A7C">
            <w:pPr>
              <w:pStyle w:val="Tablenormalleft"/>
              <w:jc w:val="left"/>
            </w:pPr>
            <w:r w:rsidRPr="00763F5D">
              <w:t>UEI College-Fresno</w:t>
            </w:r>
          </w:p>
        </w:tc>
        <w:tc>
          <w:tcPr>
            <w:tcW w:w="1118" w:type="pct"/>
            <w:tcBorders>
              <w:left w:val="single" w:sz="8" w:space="0" w:color="7BA0CD" w:themeColor="accent1" w:themeTint="BF"/>
              <w:right w:val="single" w:sz="8" w:space="0" w:color="7BA0CD" w:themeColor="accent1" w:themeTint="BF"/>
            </w:tcBorders>
            <w:vAlign w:val="center"/>
          </w:tcPr>
          <w:p w14:paraId="0C227311" w14:textId="3377ECB7"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564 </w:t>
            </w:r>
          </w:p>
        </w:tc>
        <w:tc>
          <w:tcPr>
            <w:tcW w:w="1117" w:type="pct"/>
            <w:tcBorders>
              <w:left w:val="single" w:sz="8" w:space="0" w:color="7BA0CD" w:themeColor="accent1" w:themeTint="BF"/>
            </w:tcBorders>
            <w:vAlign w:val="center"/>
          </w:tcPr>
          <w:p w14:paraId="20A51C4F" w14:textId="1AC0F49C"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7%</w:t>
            </w:r>
          </w:p>
        </w:tc>
      </w:tr>
      <w:tr w:rsidR="003C4A7C" w:rsidRPr="00385CCF" w14:paraId="2BA890DD"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6EF94992" w14:textId="7774CD20" w:rsidR="003C4A7C" w:rsidRDefault="003C4A7C" w:rsidP="003C4A7C">
            <w:pPr>
              <w:pStyle w:val="Tablenormalleft"/>
              <w:jc w:val="left"/>
            </w:pPr>
            <w:r w:rsidRPr="00763F5D">
              <w:t>University of Phoenix-Central Valley Campus</w:t>
            </w:r>
          </w:p>
        </w:tc>
        <w:tc>
          <w:tcPr>
            <w:tcW w:w="1118" w:type="pct"/>
            <w:tcBorders>
              <w:left w:val="single" w:sz="8" w:space="0" w:color="7BA0CD" w:themeColor="accent1" w:themeTint="BF"/>
              <w:right w:val="single" w:sz="8" w:space="0" w:color="7BA0CD" w:themeColor="accent1" w:themeTint="BF"/>
            </w:tcBorders>
            <w:vAlign w:val="center"/>
          </w:tcPr>
          <w:p w14:paraId="6C884B44" w14:textId="56EE3744"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 xml:space="preserve"> 0 </w:t>
            </w:r>
          </w:p>
        </w:tc>
        <w:tc>
          <w:tcPr>
            <w:tcW w:w="1117" w:type="pct"/>
            <w:tcBorders>
              <w:left w:val="single" w:sz="8" w:space="0" w:color="7BA0CD" w:themeColor="accent1" w:themeTint="BF"/>
            </w:tcBorders>
            <w:vAlign w:val="center"/>
          </w:tcPr>
          <w:p w14:paraId="43BC58D4" w14:textId="0BCB0219" w:rsidR="003C4A7C" w:rsidRPr="00260C10" w:rsidRDefault="003C4A7C" w:rsidP="003C4A7C">
            <w:pPr>
              <w:pStyle w:val="Tablenormalright"/>
              <w:cnfStyle w:val="000000100000" w:firstRow="0" w:lastRow="0" w:firstColumn="0" w:lastColumn="0" w:oddVBand="0" w:evenVBand="0" w:oddHBand="1" w:evenHBand="0" w:firstRowFirstColumn="0" w:firstRowLastColumn="0" w:lastRowFirstColumn="0" w:lastRowLastColumn="0"/>
            </w:pPr>
            <w:r w:rsidRPr="00763F5D">
              <w:t>0%</w:t>
            </w:r>
          </w:p>
        </w:tc>
      </w:tr>
      <w:tr w:rsidR="003C4A7C" w:rsidRPr="00385CCF" w14:paraId="791FA9FB"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584926EA" w14:textId="061C3D1F" w:rsidR="003C4A7C" w:rsidRDefault="003C4A7C" w:rsidP="003C4A7C">
            <w:pPr>
              <w:pStyle w:val="Tablenormalleft"/>
              <w:jc w:val="left"/>
            </w:pPr>
            <w:r w:rsidRPr="00763F5D">
              <w:t>West Hills College-Coalinga</w:t>
            </w:r>
          </w:p>
        </w:tc>
        <w:tc>
          <w:tcPr>
            <w:tcW w:w="1118" w:type="pct"/>
            <w:tcBorders>
              <w:left w:val="single" w:sz="8" w:space="0" w:color="7BA0CD" w:themeColor="accent1" w:themeTint="BF"/>
              <w:right w:val="single" w:sz="8" w:space="0" w:color="7BA0CD" w:themeColor="accent1" w:themeTint="BF"/>
            </w:tcBorders>
            <w:vAlign w:val="center"/>
          </w:tcPr>
          <w:p w14:paraId="0966D313" w14:textId="04617F0B"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 xml:space="preserve"> 167 </w:t>
            </w:r>
          </w:p>
        </w:tc>
        <w:tc>
          <w:tcPr>
            <w:tcW w:w="1117" w:type="pct"/>
            <w:tcBorders>
              <w:left w:val="single" w:sz="8" w:space="0" w:color="7BA0CD" w:themeColor="accent1" w:themeTint="BF"/>
            </w:tcBorders>
            <w:vAlign w:val="center"/>
          </w:tcPr>
          <w:p w14:paraId="48BC413D" w14:textId="2B5385FD" w:rsidR="003C4A7C" w:rsidRPr="00260C10" w:rsidRDefault="003C4A7C" w:rsidP="003C4A7C">
            <w:pPr>
              <w:pStyle w:val="Tablenormalright"/>
              <w:cnfStyle w:val="000000010000" w:firstRow="0" w:lastRow="0" w:firstColumn="0" w:lastColumn="0" w:oddVBand="0" w:evenVBand="0" w:oddHBand="0" w:evenHBand="1" w:firstRowFirstColumn="0" w:firstRowLastColumn="0" w:lastRowFirstColumn="0" w:lastRowLastColumn="0"/>
            </w:pPr>
            <w:r w:rsidRPr="00763F5D">
              <w:t>2%</w:t>
            </w:r>
          </w:p>
        </w:tc>
      </w:tr>
      <w:tr w:rsidR="003C4A7C" w:rsidRPr="00385CCF" w14:paraId="2E9BFD07"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right w:val="single" w:sz="8" w:space="0" w:color="7BA0CD" w:themeColor="accent1" w:themeTint="BF"/>
            </w:tcBorders>
            <w:noWrap/>
            <w:vAlign w:val="center"/>
          </w:tcPr>
          <w:p w14:paraId="48271B7F" w14:textId="3E480F34" w:rsidR="003C4A7C" w:rsidRPr="00420C72" w:rsidRDefault="003C4A7C" w:rsidP="003C4A7C">
            <w:pPr>
              <w:pStyle w:val="Tablenormalleft"/>
              <w:jc w:val="left"/>
              <w:rPr>
                <w:b/>
              </w:rPr>
            </w:pPr>
            <w:r w:rsidRPr="00763F5D">
              <w:t>West Hills College-Lemoore</w:t>
            </w:r>
          </w:p>
        </w:tc>
        <w:tc>
          <w:tcPr>
            <w:tcW w:w="1118" w:type="pct"/>
            <w:tcBorders>
              <w:left w:val="single" w:sz="8" w:space="0" w:color="7BA0CD" w:themeColor="accent1" w:themeTint="BF"/>
              <w:right w:val="single" w:sz="8" w:space="0" w:color="7BA0CD" w:themeColor="accent1" w:themeTint="BF"/>
            </w:tcBorders>
            <w:vAlign w:val="center"/>
          </w:tcPr>
          <w:p w14:paraId="1F56B94C" w14:textId="6D7C24FD" w:rsidR="003C4A7C" w:rsidRPr="00420C72" w:rsidRDefault="003C4A7C" w:rsidP="003C4A7C">
            <w:pPr>
              <w:pStyle w:val="Tablenormalright"/>
              <w:cnfStyle w:val="000000100000" w:firstRow="0" w:lastRow="0" w:firstColumn="0" w:lastColumn="0" w:oddVBand="0" w:evenVBand="0" w:oddHBand="1" w:evenHBand="0" w:firstRowFirstColumn="0" w:firstRowLastColumn="0" w:lastRowFirstColumn="0" w:lastRowLastColumn="0"/>
              <w:rPr>
                <w:b/>
              </w:rPr>
            </w:pPr>
            <w:r w:rsidRPr="00763F5D">
              <w:t xml:space="preserve"> 39 </w:t>
            </w:r>
          </w:p>
        </w:tc>
        <w:tc>
          <w:tcPr>
            <w:tcW w:w="1117" w:type="pct"/>
            <w:tcBorders>
              <w:left w:val="single" w:sz="8" w:space="0" w:color="7BA0CD" w:themeColor="accent1" w:themeTint="BF"/>
            </w:tcBorders>
            <w:vAlign w:val="center"/>
          </w:tcPr>
          <w:p w14:paraId="5D0F4A23" w14:textId="4EA3FBB7" w:rsidR="003C4A7C" w:rsidRPr="00420C72" w:rsidRDefault="003C4A7C" w:rsidP="003C4A7C">
            <w:pPr>
              <w:pStyle w:val="Tablenormalright"/>
              <w:cnfStyle w:val="000000100000" w:firstRow="0" w:lastRow="0" w:firstColumn="0" w:lastColumn="0" w:oddVBand="0" w:evenVBand="0" w:oddHBand="1" w:evenHBand="0" w:firstRowFirstColumn="0" w:firstRowLastColumn="0" w:lastRowFirstColumn="0" w:lastRowLastColumn="0"/>
              <w:rPr>
                <w:b/>
              </w:rPr>
            </w:pPr>
            <w:r w:rsidRPr="00763F5D">
              <w:t>0%</w:t>
            </w:r>
          </w:p>
        </w:tc>
      </w:tr>
      <w:tr w:rsidR="003C4A7C" w:rsidRPr="003C4A7C" w14:paraId="356E1B67" w14:textId="77777777" w:rsidTr="003C4A7C">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65" w:type="pct"/>
            <w:tcBorders>
              <w:bottom w:val="single" w:sz="8" w:space="0" w:color="7BA0CD" w:themeColor="accent1" w:themeTint="BF"/>
              <w:right w:val="single" w:sz="8" w:space="0" w:color="7BA0CD" w:themeColor="accent1" w:themeTint="BF"/>
            </w:tcBorders>
            <w:noWrap/>
            <w:vAlign w:val="center"/>
          </w:tcPr>
          <w:p w14:paraId="08C5D3C6" w14:textId="5CA70371" w:rsidR="003C4A7C" w:rsidRPr="003C4A7C" w:rsidRDefault="003C4A7C" w:rsidP="003C4A7C">
            <w:pPr>
              <w:pStyle w:val="Tablenormalleft"/>
              <w:jc w:val="left"/>
              <w:rPr>
                <w:b/>
              </w:rPr>
            </w:pPr>
            <w:r w:rsidRPr="003C4A7C">
              <w:rPr>
                <w:b/>
              </w:rPr>
              <w:t>Grand Total</w:t>
            </w:r>
          </w:p>
        </w:tc>
        <w:tc>
          <w:tcPr>
            <w:tcW w:w="1118" w:type="pct"/>
            <w:tcBorders>
              <w:left w:val="single" w:sz="8" w:space="0" w:color="7BA0CD" w:themeColor="accent1" w:themeTint="BF"/>
              <w:bottom w:val="single" w:sz="8" w:space="0" w:color="7BA0CD" w:themeColor="accent1" w:themeTint="BF"/>
              <w:right w:val="single" w:sz="8" w:space="0" w:color="7BA0CD" w:themeColor="accent1" w:themeTint="BF"/>
            </w:tcBorders>
            <w:vAlign w:val="center"/>
          </w:tcPr>
          <w:p w14:paraId="2859FC38" w14:textId="0E3BEDC1" w:rsidR="003C4A7C" w:rsidRPr="003C4A7C" w:rsidRDefault="003C4A7C" w:rsidP="003C4A7C">
            <w:pPr>
              <w:pStyle w:val="Tablenormalright"/>
              <w:cnfStyle w:val="000000010000" w:firstRow="0" w:lastRow="0" w:firstColumn="0" w:lastColumn="0" w:oddVBand="0" w:evenVBand="0" w:oddHBand="0" w:evenHBand="1" w:firstRowFirstColumn="0" w:firstRowLastColumn="0" w:lastRowFirstColumn="0" w:lastRowLastColumn="0"/>
              <w:rPr>
                <w:b/>
              </w:rPr>
            </w:pPr>
            <w:r w:rsidRPr="003C4A7C">
              <w:rPr>
                <w:b/>
              </w:rPr>
              <w:t xml:space="preserve"> 7,807 </w:t>
            </w:r>
          </w:p>
        </w:tc>
        <w:tc>
          <w:tcPr>
            <w:tcW w:w="1117" w:type="pct"/>
            <w:tcBorders>
              <w:left w:val="single" w:sz="8" w:space="0" w:color="7BA0CD" w:themeColor="accent1" w:themeTint="BF"/>
              <w:bottom w:val="single" w:sz="8" w:space="0" w:color="7BA0CD" w:themeColor="accent1" w:themeTint="BF"/>
            </w:tcBorders>
            <w:vAlign w:val="center"/>
          </w:tcPr>
          <w:p w14:paraId="1F2DA70B" w14:textId="2C1CC794" w:rsidR="003C4A7C" w:rsidRPr="003C4A7C" w:rsidRDefault="003C4A7C" w:rsidP="003C4A7C">
            <w:pPr>
              <w:pStyle w:val="Tablenormalright"/>
              <w:cnfStyle w:val="000000010000" w:firstRow="0" w:lastRow="0" w:firstColumn="0" w:lastColumn="0" w:oddVBand="0" w:evenVBand="0" w:oddHBand="0" w:evenHBand="1" w:firstRowFirstColumn="0" w:firstRowLastColumn="0" w:lastRowFirstColumn="0" w:lastRowLastColumn="0"/>
              <w:rPr>
                <w:b/>
              </w:rPr>
            </w:pPr>
            <w:r w:rsidRPr="003C4A7C">
              <w:rPr>
                <w:b/>
              </w:rPr>
              <w:t>100%</w:t>
            </w:r>
          </w:p>
        </w:tc>
      </w:tr>
      <w:tr w:rsidR="003C4A7C" w:rsidRPr="00385CCF" w14:paraId="2B7D81A7" w14:textId="77777777" w:rsidTr="003C4A7C">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il"/>
              <w:bottom w:val="nil"/>
              <w:right w:val="nil"/>
            </w:tcBorders>
            <w:shd w:val="clear" w:color="auto" w:fill="auto"/>
            <w:noWrap/>
            <w:hideMark/>
          </w:tcPr>
          <w:p w14:paraId="40F78DC9" w14:textId="7CABFA68" w:rsidR="003C4A7C" w:rsidRPr="009D7BB1" w:rsidRDefault="003C4A7C" w:rsidP="008D098C">
            <w:pPr>
              <w:pStyle w:val="Tablefooterlastline"/>
            </w:pPr>
            <w:r w:rsidRPr="009D7BB1">
              <w:t>Sou</w:t>
            </w:r>
            <w:r w:rsidR="006C38C7">
              <w:t>CCC</w:t>
            </w:r>
            <w:r w:rsidRPr="009D7BB1">
              <w:t xml:space="preserve">e: </w:t>
            </w:r>
            <w:r>
              <w:t xml:space="preserve">IPEDS; </w:t>
            </w:r>
            <w:r w:rsidR="006C38C7">
              <w:t>CCC</w:t>
            </w:r>
          </w:p>
          <w:p w14:paraId="01015744" w14:textId="77777777" w:rsidR="003C4A7C" w:rsidRPr="00385CCF" w:rsidRDefault="003C4A7C" w:rsidP="006A4240">
            <w:pPr>
              <w:jc w:val="right"/>
              <w:rPr>
                <w:rFonts w:asciiTheme="minorHAnsi" w:hAnsiTheme="minorHAnsi" w:cs="Arial"/>
                <w:sz w:val="20"/>
                <w:szCs w:val="20"/>
              </w:rPr>
            </w:pPr>
          </w:p>
        </w:tc>
      </w:tr>
    </w:tbl>
    <w:p w14:paraId="08E3B51F" w14:textId="77777777" w:rsidR="00641562" w:rsidRDefault="00641562" w:rsidP="00641562"/>
    <w:p w14:paraId="22A80FE3" w14:textId="77777777" w:rsidR="00641562" w:rsidRPr="006E5E6F" w:rsidRDefault="00641562" w:rsidP="00C15118">
      <w:pPr>
        <w:pStyle w:val="Tabletitle"/>
      </w:pPr>
      <w:r w:rsidRPr="006E5E6F">
        <w:t>Table A3.3: Summary of Associate’s Degree Regional Completions by Institution</w:t>
      </w:r>
    </w:p>
    <w:tbl>
      <w:tblPr>
        <w:tblStyle w:val="MediumShading1-Accent1"/>
        <w:tblW w:w="9475" w:type="dxa"/>
        <w:tblLook w:val="04A0" w:firstRow="1" w:lastRow="0" w:firstColumn="1" w:lastColumn="0" w:noHBand="0" w:noVBand="1"/>
      </w:tblPr>
      <w:tblGrid>
        <w:gridCol w:w="4872"/>
        <w:gridCol w:w="2302"/>
        <w:gridCol w:w="2301"/>
      </w:tblGrid>
      <w:tr w:rsidR="00641562" w:rsidRPr="00385CCF" w14:paraId="746DBC03" w14:textId="77777777" w:rsidTr="00064FE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bottom"/>
            <w:hideMark/>
          </w:tcPr>
          <w:p w14:paraId="24763A57" w14:textId="77777777" w:rsidR="00641562" w:rsidRPr="0003456B" w:rsidRDefault="00641562" w:rsidP="00366CBE">
            <w:pPr>
              <w:pStyle w:val="Tableheaderleft"/>
              <w:rPr>
                <w:b/>
              </w:rPr>
            </w:pPr>
            <w:r w:rsidRPr="0003456B">
              <w:rPr>
                <w:b/>
              </w:rPr>
              <w:t>Institution</w:t>
            </w:r>
          </w:p>
        </w:tc>
        <w:tc>
          <w:tcPr>
            <w:tcW w:w="1215" w:type="pct"/>
            <w:tcBorders>
              <w:left w:val="single" w:sz="8" w:space="0" w:color="7BA0CD" w:themeColor="accent1" w:themeTint="BF"/>
              <w:right w:val="single" w:sz="8" w:space="0" w:color="7BA0CD" w:themeColor="accent1" w:themeTint="BF"/>
            </w:tcBorders>
            <w:vAlign w:val="center"/>
          </w:tcPr>
          <w:p w14:paraId="66A8E6A5" w14:textId="77777777" w:rsidR="00641562" w:rsidRPr="0003456B" w:rsidRDefault="00641562" w:rsidP="00B858C8">
            <w:pPr>
              <w:pStyle w:val="Tableheadercenter"/>
              <w:jc w:val="right"/>
              <w:cnfStyle w:val="100000000000" w:firstRow="1" w:lastRow="0" w:firstColumn="0" w:lastColumn="0" w:oddVBand="0" w:evenVBand="0" w:oddHBand="0" w:evenHBand="0" w:firstRowFirstColumn="0" w:firstRowLastColumn="0" w:lastRowFirstColumn="0" w:lastRowLastColumn="0"/>
              <w:rPr>
                <w:b/>
              </w:rPr>
            </w:pPr>
            <w:r w:rsidRPr="0003456B">
              <w:rPr>
                <w:b/>
              </w:rPr>
              <w:t>3-Year Average</w:t>
            </w:r>
          </w:p>
        </w:tc>
        <w:tc>
          <w:tcPr>
            <w:tcW w:w="1214" w:type="pct"/>
            <w:tcBorders>
              <w:left w:val="single" w:sz="8" w:space="0" w:color="7BA0CD" w:themeColor="accent1" w:themeTint="BF"/>
            </w:tcBorders>
            <w:vAlign w:val="center"/>
          </w:tcPr>
          <w:p w14:paraId="78A531A0" w14:textId="1058023C" w:rsidR="00641562" w:rsidRPr="0003456B" w:rsidRDefault="00641562" w:rsidP="00B858C8">
            <w:pPr>
              <w:pStyle w:val="Tableheadercenter"/>
              <w:jc w:val="right"/>
              <w:cnfStyle w:val="100000000000" w:firstRow="1" w:lastRow="0" w:firstColumn="0" w:lastColumn="0" w:oddVBand="0" w:evenVBand="0" w:oddHBand="0" w:evenHBand="0" w:firstRowFirstColumn="0" w:firstRowLastColumn="0" w:lastRowFirstColumn="0" w:lastRowLastColumn="0"/>
              <w:rPr>
                <w:b/>
              </w:rPr>
            </w:pPr>
            <w:r w:rsidRPr="0003456B">
              <w:rPr>
                <w:b/>
              </w:rPr>
              <w:t>Pe</w:t>
            </w:r>
            <w:r w:rsidR="006C38C7">
              <w:rPr>
                <w:b/>
              </w:rPr>
              <w:t>CCC</w:t>
            </w:r>
            <w:r w:rsidRPr="0003456B">
              <w:rPr>
                <w:b/>
              </w:rPr>
              <w:t>ent of Total</w:t>
            </w:r>
          </w:p>
        </w:tc>
      </w:tr>
      <w:tr w:rsidR="00064FED" w:rsidRPr="00385CCF" w14:paraId="530E3773"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hideMark/>
          </w:tcPr>
          <w:p w14:paraId="30D2A6B8" w14:textId="78A220AA" w:rsidR="00064FED" w:rsidRPr="0088105B" w:rsidRDefault="00064FED" w:rsidP="00064FED">
            <w:pPr>
              <w:pStyle w:val="Tablenormalleft"/>
              <w:jc w:val="left"/>
              <w:rPr>
                <w:color w:val="000000"/>
                <w:szCs w:val="18"/>
              </w:rPr>
            </w:pPr>
            <w:r w:rsidRPr="009D0D00">
              <w:t>California Christian College</w:t>
            </w:r>
          </w:p>
        </w:tc>
        <w:tc>
          <w:tcPr>
            <w:tcW w:w="1215" w:type="pct"/>
            <w:tcBorders>
              <w:left w:val="single" w:sz="8" w:space="0" w:color="7BA0CD" w:themeColor="accent1" w:themeTint="BF"/>
              <w:right w:val="single" w:sz="8" w:space="0" w:color="7BA0CD" w:themeColor="accent1" w:themeTint="BF"/>
            </w:tcBorders>
            <w:vAlign w:val="center"/>
          </w:tcPr>
          <w:p w14:paraId="1C529C6A" w14:textId="7566370C"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 xml:space="preserve"> 1 </w:t>
            </w:r>
          </w:p>
        </w:tc>
        <w:tc>
          <w:tcPr>
            <w:tcW w:w="1214" w:type="pct"/>
            <w:tcBorders>
              <w:left w:val="single" w:sz="8" w:space="0" w:color="7BA0CD" w:themeColor="accent1" w:themeTint="BF"/>
            </w:tcBorders>
            <w:vAlign w:val="center"/>
          </w:tcPr>
          <w:p w14:paraId="2847517F" w14:textId="4D64BF8B"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0%</w:t>
            </w:r>
          </w:p>
        </w:tc>
      </w:tr>
      <w:tr w:rsidR="00064FED" w:rsidRPr="00385CCF" w14:paraId="1C02EC5E" w14:textId="77777777" w:rsidTr="00064FE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6748057D" w14:textId="1D71D477" w:rsidR="00064FED" w:rsidRDefault="00064FED" w:rsidP="00064FED">
            <w:pPr>
              <w:pStyle w:val="Tablenormalleft"/>
              <w:jc w:val="left"/>
              <w:rPr>
                <w:color w:val="000000"/>
                <w:szCs w:val="18"/>
              </w:rPr>
            </w:pPr>
            <w:r w:rsidRPr="009D0D00">
              <w:t>Clovis Community College</w:t>
            </w:r>
          </w:p>
        </w:tc>
        <w:tc>
          <w:tcPr>
            <w:tcW w:w="1215" w:type="pct"/>
            <w:tcBorders>
              <w:left w:val="single" w:sz="8" w:space="0" w:color="7BA0CD" w:themeColor="accent1" w:themeTint="BF"/>
              <w:right w:val="single" w:sz="8" w:space="0" w:color="7BA0CD" w:themeColor="accent1" w:themeTint="BF"/>
            </w:tcBorders>
            <w:vAlign w:val="center"/>
          </w:tcPr>
          <w:p w14:paraId="5107705D" w14:textId="5604575E" w:rsidR="00064FED" w:rsidRPr="0088105B"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D0D00">
              <w:t xml:space="preserve"> 178 </w:t>
            </w:r>
          </w:p>
        </w:tc>
        <w:tc>
          <w:tcPr>
            <w:tcW w:w="1214" w:type="pct"/>
            <w:tcBorders>
              <w:left w:val="single" w:sz="8" w:space="0" w:color="7BA0CD" w:themeColor="accent1" w:themeTint="BF"/>
            </w:tcBorders>
            <w:vAlign w:val="center"/>
          </w:tcPr>
          <w:p w14:paraId="256E8577" w14:textId="1A9757E5" w:rsidR="00064FED" w:rsidRPr="0088105B"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D0D00">
              <w:t>3%</w:t>
            </w:r>
          </w:p>
        </w:tc>
      </w:tr>
      <w:tr w:rsidR="00064FED" w:rsidRPr="00385CCF" w14:paraId="611A161B"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1FD15959" w14:textId="7C626376" w:rsidR="00064FED" w:rsidRPr="00420C72" w:rsidRDefault="00064FED" w:rsidP="00064FED">
            <w:pPr>
              <w:pStyle w:val="Tablenormalleft"/>
              <w:jc w:val="left"/>
              <w:rPr>
                <w:b/>
                <w:color w:val="000000"/>
                <w:szCs w:val="18"/>
              </w:rPr>
            </w:pPr>
            <w:r w:rsidRPr="009D0D00">
              <w:t>College of the Sequoias</w:t>
            </w:r>
          </w:p>
        </w:tc>
        <w:tc>
          <w:tcPr>
            <w:tcW w:w="1215" w:type="pct"/>
            <w:tcBorders>
              <w:left w:val="single" w:sz="8" w:space="0" w:color="7BA0CD" w:themeColor="accent1" w:themeTint="BF"/>
              <w:right w:val="single" w:sz="8" w:space="0" w:color="7BA0CD" w:themeColor="accent1" w:themeTint="BF"/>
            </w:tcBorders>
            <w:vAlign w:val="center"/>
          </w:tcPr>
          <w:p w14:paraId="3D5D8146" w14:textId="2A2FED30" w:rsidR="00064FED" w:rsidRPr="00420C72"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9D0D00">
              <w:t xml:space="preserve"> 962 </w:t>
            </w:r>
          </w:p>
        </w:tc>
        <w:tc>
          <w:tcPr>
            <w:tcW w:w="1214" w:type="pct"/>
            <w:tcBorders>
              <w:left w:val="single" w:sz="8" w:space="0" w:color="7BA0CD" w:themeColor="accent1" w:themeTint="BF"/>
            </w:tcBorders>
            <w:vAlign w:val="center"/>
          </w:tcPr>
          <w:p w14:paraId="47354162" w14:textId="3CCFC9AB" w:rsidR="00064FED" w:rsidRPr="00420C72"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9D0D00">
              <w:t>16%</w:t>
            </w:r>
          </w:p>
        </w:tc>
      </w:tr>
      <w:tr w:rsidR="00064FED" w:rsidRPr="00385CCF" w14:paraId="4918F270" w14:textId="77777777" w:rsidTr="00064FE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65CDC182" w14:textId="4A27667F" w:rsidR="00064FED" w:rsidRDefault="00064FED" w:rsidP="00064FED">
            <w:pPr>
              <w:pStyle w:val="Tablenormalleft"/>
              <w:jc w:val="left"/>
              <w:rPr>
                <w:color w:val="000000"/>
                <w:szCs w:val="18"/>
              </w:rPr>
            </w:pPr>
            <w:r w:rsidRPr="009D0D00">
              <w:t>Fresno City College</w:t>
            </w:r>
          </w:p>
        </w:tc>
        <w:tc>
          <w:tcPr>
            <w:tcW w:w="1215" w:type="pct"/>
            <w:tcBorders>
              <w:left w:val="single" w:sz="8" w:space="0" w:color="7BA0CD" w:themeColor="accent1" w:themeTint="BF"/>
              <w:right w:val="single" w:sz="8" w:space="0" w:color="7BA0CD" w:themeColor="accent1" w:themeTint="BF"/>
            </w:tcBorders>
            <w:vAlign w:val="center"/>
          </w:tcPr>
          <w:p w14:paraId="21858E04" w14:textId="1D3B9B09" w:rsidR="00064FED" w:rsidRPr="0088105B"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D0D00">
              <w:t xml:space="preserve"> 1,172 </w:t>
            </w:r>
          </w:p>
        </w:tc>
        <w:tc>
          <w:tcPr>
            <w:tcW w:w="1214" w:type="pct"/>
            <w:tcBorders>
              <w:left w:val="single" w:sz="8" w:space="0" w:color="7BA0CD" w:themeColor="accent1" w:themeTint="BF"/>
            </w:tcBorders>
            <w:vAlign w:val="center"/>
          </w:tcPr>
          <w:p w14:paraId="1BA5F79D" w14:textId="1F6CDE61" w:rsidR="00064FED" w:rsidRPr="0088105B"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D0D00">
              <w:t>19%</w:t>
            </w:r>
          </w:p>
        </w:tc>
      </w:tr>
      <w:tr w:rsidR="00064FED" w:rsidRPr="00385CCF" w14:paraId="43BD234F"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0299F586" w14:textId="30BC50F8" w:rsidR="00064FED" w:rsidRDefault="00064FED" w:rsidP="00064FED">
            <w:pPr>
              <w:pStyle w:val="Tablenormalleft"/>
              <w:jc w:val="left"/>
              <w:rPr>
                <w:color w:val="000000"/>
                <w:szCs w:val="18"/>
              </w:rPr>
            </w:pPr>
            <w:r w:rsidRPr="009D0D00">
              <w:t>Heald College-Fresno</w:t>
            </w:r>
          </w:p>
        </w:tc>
        <w:tc>
          <w:tcPr>
            <w:tcW w:w="1215" w:type="pct"/>
            <w:tcBorders>
              <w:left w:val="single" w:sz="8" w:space="0" w:color="7BA0CD" w:themeColor="accent1" w:themeTint="BF"/>
              <w:right w:val="single" w:sz="8" w:space="0" w:color="7BA0CD" w:themeColor="accent1" w:themeTint="BF"/>
            </w:tcBorders>
            <w:vAlign w:val="center"/>
          </w:tcPr>
          <w:p w14:paraId="676CBC1E" w14:textId="607F8E9C"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 xml:space="preserve"> 530 </w:t>
            </w:r>
          </w:p>
        </w:tc>
        <w:tc>
          <w:tcPr>
            <w:tcW w:w="1214" w:type="pct"/>
            <w:tcBorders>
              <w:left w:val="single" w:sz="8" w:space="0" w:color="7BA0CD" w:themeColor="accent1" w:themeTint="BF"/>
            </w:tcBorders>
            <w:vAlign w:val="center"/>
          </w:tcPr>
          <w:p w14:paraId="5179ABB5" w14:textId="3E966D13"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9%</w:t>
            </w:r>
          </w:p>
        </w:tc>
      </w:tr>
      <w:tr w:rsidR="00064FED" w:rsidRPr="00385CCF" w14:paraId="54CBB1E1" w14:textId="77777777" w:rsidTr="00064FE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5572D88F" w14:textId="49BDEB1E" w:rsidR="00064FED" w:rsidRDefault="00064FED" w:rsidP="00064FED">
            <w:pPr>
              <w:pStyle w:val="Tablenormalleft"/>
              <w:jc w:val="left"/>
              <w:rPr>
                <w:color w:val="000000"/>
                <w:szCs w:val="18"/>
              </w:rPr>
            </w:pPr>
            <w:r w:rsidRPr="009D0D00">
              <w:t>Institute of Technology Inc</w:t>
            </w:r>
          </w:p>
        </w:tc>
        <w:tc>
          <w:tcPr>
            <w:tcW w:w="1215" w:type="pct"/>
            <w:tcBorders>
              <w:left w:val="single" w:sz="8" w:space="0" w:color="7BA0CD" w:themeColor="accent1" w:themeTint="BF"/>
              <w:right w:val="single" w:sz="8" w:space="0" w:color="7BA0CD" w:themeColor="accent1" w:themeTint="BF"/>
            </w:tcBorders>
            <w:vAlign w:val="center"/>
          </w:tcPr>
          <w:p w14:paraId="31EAB958" w14:textId="761CB414" w:rsidR="00064FED" w:rsidRPr="0088105B"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D0D00">
              <w:t xml:space="preserve"> 401 </w:t>
            </w:r>
          </w:p>
        </w:tc>
        <w:tc>
          <w:tcPr>
            <w:tcW w:w="1214" w:type="pct"/>
            <w:tcBorders>
              <w:left w:val="single" w:sz="8" w:space="0" w:color="7BA0CD" w:themeColor="accent1" w:themeTint="BF"/>
            </w:tcBorders>
            <w:vAlign w:val="center"/>
          </w:tcPr>
          <w:p w14:paraId="14D5452E" w14:textId="0727BBF0" w:rsidR="00064FED" w:rsidRPr="0088105B"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D0D00">
              <w:t>7%</w:t>
            </w:r>
          </w:p>
        </w:tc>
      </w:tr>
      <w:tr w:rsidR="00064FED" w:rsidRPr="00385CCF" w14:paraId="72F5397F"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0A8D55B1" w14:textId="2B4897D7" w:rsidR="00064FED" w:rsidRDefault="00064FED" w:rsidP="00064FED">
            <w:pPr>
              <w:pStyle w:val="Tablenormalleft"/>
              <w:jc w:val="left"/>
              <w:rPr>
                <w:color w:val="000000"/>
                <w:szCs w:val="18"/>
              </w:rPr>
            </w:pPr>
            <w:r w:rsidRPr="009D0D00">
              <w:t>ITT Technical Institute-Clovis</w:t>
            </w:r>
          </w:p>
        </w:tc>
        <w:tc>
          <w:tcPr>
            <w:tcW w:w="1215" w:type="pct"/>
            <w:tcBorders>
              <w:left w:val="single" w:sz="8" w:space="0" w:color="7BA0CD" w:themeColor="accent1" w:themeTint="BF"/>
              <w:right w:val="single" w:sz="8" w:space="0" w:color="7BA0CD" w:themeColor="accent1" w:themeTint="BF"/>
            </w:tcBorders>
            <w:vAlign w:val="center"/>
          </w:tcPr>
          <w:p w14:paraId="6B1D2796" w14:textId="644B5738"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 xml:space="preserve"> 153 </w:t>
            </w:r>
          </w:p>
        </w:tc>
        <w:tc>
          <w:tcPr>
            <w:tcW w:w="1214" w:type="pct"/>
            <w:tcBorders>
              <w:left w:val="single" w:sz="8" w:space="0" w:color="7BA0CD" w:themeColor="accent1" w:themeTint="BF"/>
            </w:tcBorders>
            <w:vAlign w:val="center"/>
          </w:tcPr>
          <w:p w14:paraId="58849FD9" w14:textId="61CEC152"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3%</w:t>
            </w:r>
          </w:p>
        </w:tc>
      </w:tr>
      <w:tr w:rsidR="00064FED" w:rsidRPr="00385CCF" w14:paraId="0EA1F740" w14:textId="77777777" w:rsidTr="00064FE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024C8777" w14:textId="1F47FB46" w:rsidR="00064FED" w:rsidRDefault="00064FED" w:rsidP="00064FED">
            <w:pPr>
              <w:pStyle w:val="Tablenormalleft"/>
              <w:jc w:val="left"/>
              <w:rPr>
                <w:color w:val="000000"/>
                <w:szCs w:val="18"/>
              </w:rPr>
            </w:pPr>
            <w:r w:rsidRPr="009D0D00">
              <w:t>Kaplan College-Fresno</w:t>
            </w:r>
          </w:p>
        </w:tc>
        <w:tc>
          <w:tcPr>
            <w:tcW w:w="1215" w:type="pct"/>
            <w:tcBorders>
              <w:left w:val="single" w:sz="8" w:space="0" w:color="7BA0CD" w:themeColor="accent1" w:themeTint="BF"/>
              <w:right w:val="single" w:sz="8" w:space="0" w:color="7BA0CD" w:themeColor="accent1" w:themeTint="BF"/>
            </w:tcBorders>
            <w:vAlign w:val="center"/>
          </w:tcPr>
          <w:p w14:paraId="4CF58D7D" w14:textId="5C69BAA2" w:rsidR="00064FED" w:rsidRPr="0088105B"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D0D00">
              <w:t xml:space="preserve"> 60 </w:t>
            </w:r>
          </w:p>
        </w:tc>
        <w:tc>
          <w:tcPr>
            <w:tcW w:w="1214" w:type="pct"/>
            <w:tcBorders>
              <w:left w:val="single" w:sz="8" w:space="0" w:color="7BA0CD" w:themeColor="accent1" w:themeTint="BF"/>
            </w:tcBorders>
            <w:vAlign w:val="center"/>
          </w:tcPr>
          <w:p w14:paraId="0341CEAA" w14:textId="5FEF487E" w:rsidR="00064FED" w:rsidRPr="0088105B"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9D0D00">
              <w:t>1%</w:t>
            </w:r>
          </w:p>
        </w:tc>
      </w:tr>
      <w:tr w:rsidR="00064FED" w:rsidRPr="00385CCF" w14:paraId="2F102969"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01507815" w14:textId="6334B900" w:rsidR="00064FED" w:rsidRDefault="00064FED" w:rsidP="00064FED">
            <w:pPr>
              <w:pStyle w:val="Tablenormalleft"/>
              <w:jc w:val="left"/>
              <w:rPr>
                <w:color w:val="000000"/>
                <w:szCs w:val="18"/>
              </w:rPr>
            </w:pPr>
            <w:r w:rsidRPr="009D0D00">
              <w:t>Porterville College</w:t>
            </w:r>
          </w:p>
        </w:tc>
        <w:tc>
          <w:tcPr>
            <w:tcW w:w="1215" w:type="pct"/>
            <w:tcBorders>
              <w:left w:val="single" w:sz="8" w:space="0" w:color="7BA0CD" w:themeColor="accent1" w:themeTint="BF"/>
              <w:right w:val="single" w:sz="8" w:space="0" w:color="7BA0CD" w:themeColor="accent1" w:themeTint="BF"/>
            </w:tcBorders>
            <w:vAlign w:val="center"/>
          </w:tcPr>
          <w:p w14:paraId="071B60C6" w14:textId="3232BB4F"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 xml:space="preserve"> 263 </w:t>
            </w:r>
          </w:p>
        </w:tc>
        <w:tc>
          <w:tcPr>
            <w:tcW w:w="1214" w:type="pct"/>
            <w:tcBorders>
              <w:left w:val="single" w:sz="8" w:space="0" w:color="7BA0CD" w:themeColor="accent1" w:themeTint="BF"/>
            </w:tcBorders>
            <w:vAlign w:val="center"/>
          </w:tcPr>
          <w:p w14:paraId="405C46AD" w14:textId="7E5CD6FA"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4%</w:t>
            </w:r>
          </w:p>
        </w:tc>
      </w:tr>
      <w:tr w:rsidR="00064FED" w:rsidRPr="00064FED" w14:paraId="1B5A06FF" w14:textId="77777777" w:rsidTr="00064FE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5BD9AD74" w14:textId="1D20208E" w:rsidR="00064FED" w:rsidRPr="00064FED" w:rsidRDefault="006C38C7" w:rsidP="00064FED">
            <w:pPr>
              <w:pStyle w:val="Tablenormalleft"/>
              <w:jc w:val="left"/>
              <w:rPr>
                <w:b/>
                <w:color w:val="000000"/>
                <w:szCs w:val="18"/>
              </w:rPr>
            </w:pPr>
            <w:r>
              <w:rPr>
                <w:b/>
              </w:rPr>
              <w:t>Clovis</w:t>
            </w:r>
            <w:r w:rsidR="00064FED" w:rsidRPr="00064FED">
              <w:rPr>
                <w:b/>
              </w:rPr>
              <w:t xml:space="preserve"> College</w:t>
            </w:r>
          </w:p>
        </w:tc>
        <w:tc>
          <w:tcPr>
            <w:tcW w:w="1215" w:type="pct"/>
            <w:tcBorders>
              <w:left w:val="single" w:sz="8" w:space="0" w:color="7BA0CD" w:themeColor="accent1" w:themeTint="BF"/>
              <w:right w:val="single" w:sz="8" w:space="0" w:color="7BA0CD" w:themeColor="accent1" w:themeTint="BF"/>
            </w:tcBorders>
            <w:vAlign w:val="center"/>
          </w:tcPr>
          <w:p w14:paraId="48E01235" w14:textId="3282A440" w:rsidR="00064FED" w:rsidRPr="00064FED"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b/>
                <w:color w:val="000000"/>
                <w:szCs w:val="18"/>
              </w:rPr>
            </w:pPr>
            <w:r w:rsidRPr="00064FED">
              <w:rPr>
                <w:b/>
              </w:rPr>
              <w:t xml:space="preserve"> 504 </w:t>
            </w:r>
          </w:p>
        </w:tc>
        <w:tc>
          <w:tcPr>
            <w:tcW w:w="1214" w:type="pct"/>
            <w:tcBorders>
              <w:left w:val="single" w:sz="8" w:space="0" w:color="7BA0CD" w:themeColor="accent1" w:themeTint="BF"/>
            </w:tcBorders>
            <w:vAlign w:val="center"/>
          </w:tcPr>
          <w:p w14:paraId="572757A4" w14:textId="3C345117" w:rsidR="00064FED" w:rsidRPr="00064FED"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rFonts w:cs="Arial"/>
                <w:b/>
                <w:color w:val="000000"/>
                <w:szCs w:val="18"/>
              </w:rPr>
            </w:pPr>
            <w:r w:rsidRPr="00064FED">
              <w:rPr>
                <w:b/>
              </w:rPr>
              <w:t>8%</w:t>
            </w:r>
          </w:p>
        </w:tc>
      </w:tr>
      <w:tr w:rsidR="00064FED" w:rsidRPr="00385CCF" w14:paraId="18D7A79C"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7B283F1D" w14:textId="30E0510D" w:rsidR="00064FED" w:rsidRDefault="00064FED" w:rsidP="00064FED">
            <w:pPr>
              <w:pStyle w:val="Tablenormalleft"/>
              <w:jc w:val="left"/>
              <w:rPr>
                <w:color w:val="000000"/>
                <w:szCs w:val="18"/>
              </w:rPr>
            </w:pPr>
            <w:r w:rsidRPr="009D0D00">
              <w:t>San Joaquin Valley College-Fresno</w:t>
            </w:r>
          </w:p>
        </w:tc>
        <w:tc>
          <w:tcPr>
            <w:tcW w:w="1215" w:type="pct"/>
            <w:tcBorders>
              <w:left w:val="single" w:sz="8" w:space="0" w:color="7BA0CD" w:themeColor="accent1" w:themeTint="BF"/>
              <w:right w:val="single" w:sz="8" w:space="0" w:color="7BA0CD" w:themeColor="accent1" w:themeTint="BF"/>
            </w:tcBorders>
            <w:vAlign w:val="center"/>
          </w:tcPr>
          <w:p w14:paraId="520A3CC9" w14:textId="0A24D89B"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 xml:space="preserve"> 429 </w:t>
            </w:r>
          </w:p>
        </w:tc>
        <w:tc>
          <w:tcPr>
            <w:tcW w:w="1214" w:type="pct"/>
            <w:tcBorders>
              <w:left w:val="single" w:sz="8" w:space="0" w:color="7BA0CD" w:themeColor="accent1" w:themeTint="BF"/>
            </w:tcBorders>
            <w:vAlign w:val="center"/>
          </w:tcPr>
          <w:p w14:paraId="6DCAD198" w14:textId="1C6D1CFB" w:rsidR="00064FED" w:rsidRPr="0088105B"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D0D00">
              <w:t>7%</w:t>
            </w:r>
          </w:p>
        </w:tc>
      </w:tr>
      <w:tr w:rsidR="00064FED" w:rsidRPr="00385CCF" w14:paraId="29459604" w14:textId="77777777" w:rsidTr="00064FE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1CD5C1B6" w14:textId="3B6725BE" w:rsidR="00064FED" w:rsidRDefault="00064FED" w:rsidP="00064FED">
            <w:pPr>
              <w:pStyle w:val="Tablenormalleft"/>
              <w:jc w:val="left"/>
            </w:pPr>
            <w:r w:rsidRPr="009D0D00">
              <w:t>San Joaquin Valley College-Fresno Aviation</w:t>
            </w:r>
          </w:p>
        </w:tc>
        <w:tc>
          <w:tcPr>
            <w:tcW w:w="1215" w:type="pct"/>
            <w:tcBorders>
              <w:left w:val="single" w:sz="8" w:space="0" w:color="7BA0CD" w:themeColor="accent1" w:themeTint="BF"/>
              <w:right w:val="single" w:sz="8" w:space="0" w:color="7BA0CD" w:themeColor="accent1" w:themeTint="BF"/>
            </w:tcBorders>
            <w:vAlign w:val="center"/>
          </w:tcPr>
          <w:p w14:paraId="4F75129F" w14:textId="00ACA6D5" w:rsidR="00064FED" w:rsidRPr="008E2DA9"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9D0D00">
              <w:t xml:space="preserve"> 45 </w:t>
            </w:r>
          </w:p>
        </w:tc>
        <w:tc>
          <w:tcPr>
            <w:tcW w:w="1214" w:type="pct"/>
            <w:tcBorders>
              <w:left w:val="single" w:sz="8" w:space="0" w:color="7BA0CD" w:themeColor="accent1" w:themeTint="BF"/>
            </w:tcBorders>
            <w:vAlign w:val="center"/>
          </w:tcPr>
          <w:p w14:paraId="59583DBE" w14:textId="7146E6FD" w:rsidR="00064FED" w:rsidRPr="008E2DA9"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9D0D00">
              <w:t>1%</w:t>
            </w:r>
          </w:p>
        </w:tc>
      </w:tr>
      <w:tr w:rsidR="00064FED" w:rsidRPr="00385CCF" w14:paraId="55BE2791"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7249F4E6" w14:textId="6C3DD3DE" w:rsidR="00064FED" w:rsidRDefault="00064FED" w:rsidP="00064FED">
            <w:pPr>
              <w:pStyle w:val="Tablenormalleft"/>
              <w:jc w:val="left"/>
            </w:pPr>
            <w:r w:rsidRPr="009D0D00">
              <w:t>San Joaquin Valley College-Online</w:t>
            </w:r>
          </w:p>
        </w:tc>
        <w:tc>
          <w:tcPr>
            <w:tcW w:w="1215" w:type="pct"/>
            <w:tcBorders>
              <w:left w:val="single" w:sz="8" w:space="0" w:color="7BA0CD" w:themeColor="accent1" w:themeTint="BF"/>
              <w:right w:val="single" w:sz="8" w:space="0" w:color="7BA0CD" w:themeColor="accent1" w:themeTint="BF"/>
            </w:tcBorders>
            <w:vAlign w:val="center"/>
          </w:tcPr>
          <w:p w14:paraId="1A4522F4" w14:textId="66210A7B" w:rsidR="00064FED" w:rsidRPr="008E2DA9"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9D0D00">
              <w:t xml:space="preserve"> 31 </w:t>
            </w:r>
          </w:p>
        </w:tc>
        <w:tc>
          <w:tcPr>
            <w:tcW w:w="1214" w:type="pct"/>
            <w:tcBorders>
              <w:left w:val="single" w:sz="8" w:space="0" w:color="7BA0CD" w:themeColor="accent1" w:themeTint="BF"/>
            </w:tcBorders>
            <w:vAlign w:val="center"/>
          </w:tcPr>
          <w:p w14:paraId="695AA6CE" w14:textId="253BBFF3" w:rsidR="00064FED" w:rsidRPr="008E2DA9"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9D0D00">
              <w:t>1%</w:t>
            </w:r>
          </w:p>
        </w:tc>
      </w:tr>
      <w:tr w:rsidR="00064FED" w:rsidRPr="00385CCF" w14:paraId="49F7A5D7" w14:textId="77777777" w:rsidTr="00064FE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5718AFED" w14:textId="1F43DD66" w:rsidR="00064FED" w:rsidRDefault="00064FED" w:rsidP="00064FED">
            <w:pPr>
              <w:pStyle w:val="Tablenormalleft"/>
              <w:jc w:val="left"/>
            </w:pPr>
            <w:r w:rsidRPr="009D0D00">
              <w:t>San Joaquin Valley College-Visalia</w:t>
            </w:r>
          </w:p>
        </w:tc>
        <w:tc>
          <w:tcPr>
            <w:tcW w:w="1215" w:type="pct"/>
            <w:tcBorders>
              <w:left w:val="single" w:sz="8" w:space="0" w:color="7BA0CD" w:themeColor="accent1" w:themeTint="BF"/>
              <w:right w:val="single" w:sz="8" w:space="0" w:color="7BA0CD" w:themeColor="accent1" w:themeTint="BF"/>
            </w:tcBorders>
            <w:vAlign w:val="center"/>
          </w:tcPr>
          <w:p w14:paraId="6921EB17" w14:textId="28F9865E" w:rsidR="00064FED" w:rsidRPr="008E2DA9"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9D0D00">
              <w:t xml:space="preserve"> 748 </w:t>
            </w:r>
          </w:p>
        </w:tc>
        <w:tc>
          <w:tcPr>
            <w:tcW w:w="1214" w:type="pct"/>
            <w:tcBorders>
              <w:left w:val="single" w:sz="8" w:space="0" w:color="7BA0CD" w:themeColor="accent1" w:themeTint="BF"/>
            </w:tcBorders>
            <w:vAlign w:val="center"/>
          </w:tcPr>
          <w:p w14:paraId="5544C2F2" w14:textId="4CE41768" w:rsidR="00064FED" w:rsidRPr="008E2DA9"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9D0D00">
              <w:t>12%</w:t>
            </w:r>
          </w:p>
        </w:tc>
      </w:tr>
      <w:tr w:rsidR="00064FED" w:rsidRPr="00385CCF" w14:paraId="3C172CDB"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704403A2" w14:textId="1B31D9DB" w:rsidR="00064FED" w:rsidRDefault="00064FED" w:rsidP="00064FED">
            <w:pPr>
              <w:pStyle w:val="Tablenormalleft"/>
              <w:jc w:val="left"/>
            </w:pPr>
            <w:r w:rsidRPr="009D0D00">
              <w:t>West Hills College-Coalinga</w:t>
            </w:r>
          </w:p>
        </w:tc>
        <w:tc>
          <w:tcPr>
            <w:tcW w:w="1215" w:type="pct"/>
            <w:tcBorders>
              <w:left w:val="single" w:sz="8" w:space="0" w:color="7BA0CD" w:themeColor="accent1" w:themeTint="BF"/>
              <w:right w:val="single" w:sz="8" w:space="0" w:color="7BA0CD" w:themeColor="accent1" w:themeTint="BF"/>
            </w:tcBorders>
            <w:vAlign w:val="center"/>
          </w:tcPr>
          <w:p w14:paraId="7C4C5117" w14:textId="4EC14DFF" w:rsidR="00064FED" w:rsidRPr="008E2DA9"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9D0D00">
              <w:t xml:space="preserve"> 217 </w:t>
            </w:r>
          </w:p>
        </w:tc>
        <w:tc>
          <w:tcPr>
            <w:tcW w:w="1214" w:type="pct"/>
            <w:tcBorders>
              <w:left w:val="single" w:sz="8" w:space="0" w:color="7BA0CD" w:themeColor="accent1" w:themeTint="BF"/>
            </w:tcBorders>
            <w:vAlign w:val="center"/>
          </w:tcPr>
          <w:p w14:paraId="16CFC722" w14:textId="0FA1BF62" w:rsidR="00064FED" w:rsidRPr="008E2DA9"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9D0D00">
              <w:t>4%</w:t>
            </w:r>
          </w:p>
        </w:tc>
      </w:tr>
      <w:tr w:rsidR="00064FED" w:rsidRPr="00385CCF" w14:paraId="79E11043" w14:textId="77777777" w:rsidTr="00064FED">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3A949443" w14:textId="377FCA60" w:rsidR="00064FED" w:rsidRPr="00420C72" w:rsidRDefault="00064FED" w:rsidP="00064FED">
            <w:pPr>
              <w:pStyle w:val="Tablenormalleft"/>
              <w:jc w:val="left"/>
              <w:rPr>
                <w:b/>
              </w:rPr>
            </w:pPr>
            <w:r w:rsidRPr="009D0D00">
              <w:t>West Hills College-Lemoore</w:t>
            </w:r>
          </w:p>
        </w:tc>
        <w:tc>
          <w:tcPr>
            <w:tcW w:w="1215" w:type="pct"/>
            <w:tcBorders>
              <w:left w:val="single" w:sz="8" w:space="0" w:color="7BA0CD" w:themeColor="accent1" w:themeTint="BF"/>
              <w:right w:val="single" w:sz="8" w:space="0" w:color="7BA0CD" w:themeColor="accent1" w:themeTint="BF"/>
            </w:tcBorders>
            <w:vAlign w:val="center"/>
          </w:tcPr>
          <w:p w14:paraId="71089DC3" w14:textId="1FE58A3C" w:rsidR="00064FED" w:rsidRPr="00420C72"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b/>
              </w:rPr>
            </w:pPr>
            <w:r w:rsidRPr="009D0D00">
              <w:t xml:space="preserve"> 322 </w:t>
            </w:r>
          </w:p>
        </w:tc>
        <w:tc>
          <w:tcPr>
            <w:tcW w:w="1214" w:type="pct"/>
            <w:tcBorders>
              <w:left w:val="single" w:sz="8" w:space="0" w:color="7BA0CD" w:themeColor="accent1" w:themeTint="BF"/>
            </w:tcBorders>
            <w:vAlign w:val="center"/>
          </w:tcPr>
          <w:p w14:paraId="7299305B" w14:textId="229093A5" w:rsidR="00064FED" w:rsidRPr="00420C72" w:rsidRDefault="00064FED" w:rsidP="00064FED">
            <w:pPr>
              <w:pStyle w:val="Tablenormalright"/>
              <w:cnfStyle w:val="000000010000" w:firstRow="0" w:lastRow="0" w:firstColumn="0" w:lastColumn="0" w:oddVBand="0" w:evenVBand="0" w:oddHBand="0" w:evenHBand="1" w:firstRowFirstColumn="0" w:firstRowLastColumn="0" w:lastRowFirstColumn="0" w:lastRowLastColumn="0"/>
              <w:rPr>
                <w:b/>
              </w:rPr>
            </w:pPr>
            <w:r w:rsidRPr="009D0D00">
              <w:t>5%</w:t>
            </w:r>
          </w:p>
        </w:tc>
      </w:tr>
      <w:tr w:rsidR="00064FED" w:rsidRPr="00064FED" w14:paraId="7981C19A" w14:textId="77777777" w:rsidTr="00064FED">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71" w:type="pct"/>
            <w:tcBorders>
              <w:right w:val="single" w:sz="8" w:space="0" w:color="7BA0CD" w:themeColor="accent1" w:themeTint="BF"/>
            </w:tcBorders>
            <w:noWrap/>
            <w:vAlign w:val="center"/>
          </w:tcPr>
          <w:p w14:paraId="5155EC08" w14:textId="1DC00A30" w:rsidR="00064FED" w:rsidRPr="00064FED" w:rsidRDefault="00064FED" w:rsidP="00064FED">
            <w:pPr>
              <w:pStyle w:val="Tablenormalleft"/>
              <w:jc w:val="left"/>
              <w:rPr>
                <w:b/>
              </w:rPr>
            </w:pPr>
            <w:r w:rsidRPr="00064FED">
              <w:rPr>
                <w:b/>
              </w:rPr>
              <w:t>Grand Total</w:t>
            </w:r>
          </w:p>
        </w:tc>
        <w:tc>
          <w:tcPr>
            <w:tcW w:w="1215" w:type="pct"/>
            <w:tcBorders>
              <w:left w:val="single" w:sz="8" w:space="0" w:color="7BA0CD" w:themeColor="accent1" w:themeTint="BF"/>
              <w:right w:val="single" w:sz="8" w:space="0" w:color="7BA0CD" w:themeColor="accent1" w:themeTint="BF"/>
            </w:tcBorders>
            <w:vAlign w:val="center"/>
          </w:tcPr>
          <w:p w14:paraId="684CCD04" w14:textId="6B539A3E" w:rsidR="00064FED" w:rsidRPr="00064FED"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b/>
              </w:rPr>
            </w:pPr>
            <w:r w:rsidRPr="00064FED">
              <w:rPr>
                <w:b/>
              </w:rPr>
              <w:t xml:space="preserve"> 6,017 </w:t>
            </w:r>
          </w:p>
        </w:tc>
        <w:tc>
          <w:tcPr>
            <w:tcW w:w="1214" w:type="pct"/>
            <w:tcBorders>
              <w:left w:val="single" w:sz="8" w:space="0" w:color="7BA0CD" w:themeColor="accent1" w:themeTint="BF"/>
            </w:tcBorders>
            <w:vAlign w:val="center"/>
          </w:tcPr>
          <w:p w14:paraId="6561F1AF" w14:textId="01512F51" w:rsidR="00064FED" w:rsidRPr="00064FED" w:rsidRDefault="00064FED" w:rsidP="00064FED">
            <w:pPr>
              <w:pStyle w:val="Tablenormalright"/>
              <w:cnfStyle w:val="000000100000" w:firstRow="0" w:lastRow="0" w:firstColumn="0" w:lastColumn="0" w:oddVBand="0" w:evenVBand="0" w:oddHBand="1" w:evenHBand="0" w:firstRowFirstColumn="0" w:firstRowLastColumn="0" w:lastRowFirstColumn="0" w:lastRowLastColumn="0"/>
              <w:rPr>
                <w:b/>
              </w:rPr>
            </w:pPr>
            <w:r w:rsidRPr="00064FED">
              <w:rPr>
                <w:b/>
              </w:rPr>
              <w:t>100%</w:t>
            </w:r>
          </w:p>
        </w:tc>
      </w:tr>
      <w:tr w:rsidR="00641562" w:rsidRPr="00385CCF" w14:paraId="5F93F6CB" w14:textId="77777777" w:rsidTr="00366CBE">
        <w:trPr>
          <w:cnfStyle w:val="000000010000" w:firstRow="0" w:lastRow="0" w:firstColumn="0" w:lastColumn="0" w:oddVBand="0" w:evenVBand="0" w:oddHBand="0" w:evenHBand="1"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il"/>
              <w:bottom w:val="nil"/>
              <w:right w:val="nil"/>
            </w:tcBorders>
            <w:shd w:val="clear" w:color="auto" w:fill="auto"/>
            <w:noWrap/>
          </w:tcPr>
          <w:p w14:paraId="765F8B7E" w14:textId="4E68DD2F" w:rsidR="00641562" w:rsidRPr="009D7BB1" w:rsidRDefault="00641562" w:rsidP="008D098C">
            <w:pPr>
              <w:pStyle w:val="Tablefooterlastline"/>
            </w:pPr>
            <w:r w:rsidRPr="009D7BB1">
              <w:t>Sou</w:t>
            </w:r>
            <w:r w:rsidR="006C38C7">
              <w:t>CCC</w:t>
            </w:r>
            <w:r w:rsidRPr="009D7BB1">
              <w:t>e</w:t>
            </w:r>
            <w:r w:rsidR="002847C9">
              <w:t xml:space="preserve">: </w:t>
            </w:r>
            <w:r w:rsidR="00916D0F">
              <w:t>IPEDS</w:t>
            </w:r>
            <w:r w:rsidR="00420C72">
              <w:t xml:space="preserve">; </w:t>
            </w:r>
            <w:r w:rsidR="006C38C7">
              <w:t>CCC</w:t>
            </w:r>
          </w:p>
          <w:p w14:paraId="4A7758BC" w14:textId="77777777" w:rsidR="00641562" w:rsidRPr="0003456B" w:rsidRDefault="00641562" w:rsidP="006A4240">
            <w:pPr>
              <w:jc w:val="right"/>
              <w:rPr>
                <w:rFonts w:asciiTheme="minorHAnsi" w:hAnsiTheme="minorHAnsi" w:cs="Arial"/>
                <w:b/>
                <w:i/>
                <w:sz w:val="18"/>
                <w:szCs w:val="18"/>
              </w:rPr>
            </w:pPr>
          </w:p>
        </w:tc>
      </w:tr>
    </w:tbl>
    <w:p w14:paraId="4A6FA30F" w14:textId="77777777" w:rsidR="00641562" w:rsidRDefault="00641562" w:rsidP="00641562"/>
    <w:p w14:paraId="37CF6412" w14:textId="77777777" w:rsidR="00641562" w:rsidRDefault="00641562" w:rsidP="00641562">
      <w:pPr>
        <w:pStyle w:val="Heading1"/>
      </w:pPr>
      <w:bookmarkStart w:id="37" w:name="_Toc428785429"/>
      <w:r>
        <w:t>Appendix 4: Alternative Gap Analysis Calculations</w:t>
      </w:r>
      <w:bookmarkEnd w:id="37"/>
    </w:p>
    <w:p w14:paraId="2A3ED66A" w14:textId="35460AD0" w:rsidR="00641562" w:rsidRPr="00F40F05" w:rsidRDefault="00641562" w:rsidP="00641562">
      <w:r>
        <w:t>EMSI de-duplicated t</w:t>
      </w:r>
      <w:r w:rsidRPr="00F40F05">
        <w:t xml:space="preserve">he annual openings shown in Chapter </w:t>
      </w:r>
      <w:r w:rsidR="00414571">
        <w:t>2</w:t>
      </w:r>
      <w:r w:rsidRPr="00F40F05">
        <w:t xml:space="preserve"> to </w:t>
      </w:r>
      <w:r w:rsidR="00095A90">
        <w:t>a</w:t>
      </w:r>
      <w:r w:rsidR="005715BC">
        <w:t>ccount</w:t>
      </w:r>
      <w:r w:rsidRPr="00F40F05">
        <w:t xml:space="preserve"> for the magnitude of output from different educational programs in the region. The process is explained in detail in </w:t>
      </w:r>
      <w:r>
        <w:t>Appendix</w:t>
      </w:r>
      <w:r w:rsidRPr="00F40F05">
        <w:t xml:space="preserve"> 3 under “De-duplication of Annual Openings.” This procedure is designed to reflect the unique supply and demand dynamics of each regional economy. However, EMSI also recognizes that in some cases a student from a less predominant educational program is a more likely candidate to be offered a local job. These alternative supply and demand calculations give equal weight to every job opportunity within students’ field of study, regardless of whether that program is a big or small player in talent development for the region. Therefore, these estimates should be considered as less conservative measures than those from Chapter </w:t>
      </w:r>
      <w:r w:rsidR="00414571">
        <w:t>2</w:t>
      </w:r>
      <w:r w:rsidRPr="00F40F05">
        <w:t xml:space="preserve">. </w:t>
      </w:r>
    </w:p>
    <w:p w14:paraId="4D00A0E3" w14:textId="77777777" w:rsidR="00641562" w:rsidRDefault="00641562" w:rsidP="00641562">
      <w:pPr>
        <w:pStyle w:val="Heading3"/>
      </w:pPr>
      <w:bookmarkStart w:id="38" w:name="_Toc428785430"/>
      <w:r>
        <w:t>Alternative Gap Analysis Tables</w:t>
      </w:r>
      <w:bookmarkEnd w:id="38"/>
    </w:p>
    <w:tbl>
      <w:tblPr>
        <w:tblStyle w:val="MediumShading1-Accent1"/>
        <w:tblpPr w:leftFromText="180" w:rightFromText="180" w:vertAnchor="text" w:tblpY="1"/>
        <w:tblOverlap w:val="never"/>
        <w:tblW w:w="9468" w:type="dxa"/>
        <w:tblBorders>
          <w:top w:val="none" w:sz="0" w:space="0" w:color="auto"/>
          <w:left w:val="none" w:sz="0" w:space="0" w:color="auto"/>
          <w:right w:val="none" w:sz="0" w:space="0" w:color="auto"/>
          <w:insideH w:val="none" w:sz="0" w:space="0" w:color="auto"/>
          <w:insideV w:val="single" w:sz="8" w:space="0" w:color="7BA0CD" w:themeColor="accent1" w:themeTint="BF"/>
        </w:tblBorders>
        <w:tblLayout w:type="fixed"/>
        <w:tblLook w:val="04A0" w:firstRow="1" w:lastRow="0" w:firstColumn="1" w:lastColumn="0" w:noHBand="0" w:noVBand="1"/>
      </w:tblPr>
      <w:tblGrid>
        <w:gridCol w:w="893"/>
        <w:gridCol w:w="3895"/>
        <w:gridCol w:w="1080"/>
        <w:gridCol w:w="1260"/>
        <w:gridCol w:w="1260"/>
        <w:gridCol w:w="1080"/>
      </w:tblGrid>
      <w:tr w:rsidR="00641562" w:rsidRPr="00A841F8" w14:paraId="3D295711" w14:textId="77777777" w:rsidTr="00064FE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468" w:type="dxa"/>
            <w:gridSpan w:val="6"/>
            <w:tcBorders>
              <w:top w:val="none" w:sz="0" w:space="0" w:color="auto"/>
              <w:left w:val="none" w:sz="0" w:space="0" w:color="auto"/>
              <w:right w:val="none" w:sz="0" w:space="0" w:color="auto"/>
            </w:tcBorders>
            <w:shd w:val="clear" w:color="auto" w:fill="auto"/>
          </w:tcPr>
          <w:p w14:paraId="2C29081F" w14:textId="463B7F19" w:rsidR="00641562" w:rsidRPr="00244673" w:rsidRDefault="00641562" w:rsidP="00064FED">
            <w:pPr>
              <w:pStyle w:val="Tabletitle"/>
              <w:rPr>
                <w:rFonts w:asciiTheme="minorHAnsi" w:hAnsiTheme="minorHAnsi"/>
                <w:b/>
                <w:szCs w:val="18"/>
              </w:rPr>
            </w:pPr>
            <w:r w:rsidRPr="00244673">
              <w:rPr>
                <w:b/>
              </w:rPr>
              <w:t xml:space="preserve">Table A4.1: Alternative Supply and Demand for </w:t>
            </w:r>
            <w:r w:rsidR="006C38C7">
              <w:rPr>
                <w:b/>
              </w:rPr>
              <w:t>CCC</w:t>
            </w:r>
            <w:r w:rsidRPr="00244673">
              <w:rPr>
                <w:b/>
              </w:rPr>
              <w:t>’s Postsecondary Certificate Programs</w:t>
            </w:r>
          </w:p>
        </w:tc>
      </w:tr>
      <w:tr w:rsidR="00641562" w:rsidRPr="00A841F8" w14:paraId="23ACF25E" w14:textId="77777777" w:rsidTr="00064FE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hideMark/>
          </w:tcPr>
          <w:p w14:paraId="75FDFDCA" w14:textId="3D6D5F4F" w:rsidR="00641562" w:rsidRPr="00A841F8" w:rsidRDefault="00052DD2" w:rsidP="00064FED">
            <w:pPr>
              <w:pStyle w:val="Tableheaderleft"/>
              <w:jc w:val="center"/>
            </w:pPr>
            <w:r>
              <w:t>TOP</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hideMark/>
          </w:tcPr>
          <w:p w14:paraId="2BFE2DB0" w14:textId="77777777" w:rsidR="00641562" w:rsidRPr="00A841F8" w:rsidRDefault="00641562" w:rsidP="00064FED">
            <w:pPr>
              <w:pStyle w:val="Tableheaderleft"/>
              <w:jc w:val="center"/>
              <w:cnfStyle w:val="000000100000" w:firstRow="0" w:lastRow="0" w:firstColumn="0" w:lastColumn="0" w:oddVBand="0" w:evenVBand="0" w:oddHBand="1" w:evenHBand="0" w:firstRowFirstColumn="0" w:firstRowLastColumn="0" w:lastRowFirstColumn="0" w:lastRowLastColumn="0"/>
            </w:pPr>
            <w:r w:rsidRPr="00A841F8">
              <w:t>Program</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hideMark/>
          </w:tcPr>
          <w:p w14:paraId="512B83CA" w14:textId="77777777" w:rsidR="00641562" w:rsidRPr="00A841F8" w:rsidRDefault="00641562" w:rsidP="00064FED">
            <w:pPr>
              <w:pStyle w:val="Tableheadercenter"/>
              <w:cnfStyle w:val="000000100000" w:firstRow="0" w:lastRow="0" w:firstColumn="0" w:lastColumn="0" w:oddVBand="0" w:evenVBand="0" w:oddHBand="1" w:evenHBand="0" w:firstRowFirstColumn="0" w:firstRowLastColumn="0" w:lastRowFirstColumn="0" w:lastRowLastColumn="0"/>
            </w:pPr>
            <w:r>
              <w:t>Average Annual Openings</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hideMark/>
          </w:tcPr>
          <w:p w14:paraId="0D6BC7D5" w14:textId="77777777" w:rsidR="00641562" w:rsidRPr="00A841F8" w:rsidRDefault="00641562" w:rsidP="00064FED">
            <w:pPr>
              <w:pStyle w:val="Tableheadercenter"/>
              <w:cnfStyle w:val="000000100000" w:firstRow="0" w:lastRow="0" w:firstColumn="0" w:lastColumn="0" w:oddVBand="0" w:evenVBand="0" w:oddHBand="1" w:evenHBand="0" w:firstRowFirstColumn="0" w:firstRowLastColumn="0" w:lastRowFirstColumn="0" w:lastRowLastColumn="0"/>
            </w:pPr>
            <w:r>
              <w:t>Average Annual Completers</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hideMark/>
          </w:tcPr>
          <w:p w14:paraId="7ADDFBFC" w14:textId="3AAE2DFC" w:rsidR="00641562" w:rsidRPr="00A841F8" w:rsidRDefault="006C38C7" w:rsidP="00064FED">
            <w:pPr>
              <w:pStyle w:val="Tableheadercenter"/>
              <w:cnfStyle w:val="000000100000" w:firstRow="0" w:lastRow="0" w:firstColumn="0" w:lastColumn="0" w:oddVBand="0" w:evenVBand="0" w:oddHBand="1" w:evenHBand="0" w:firstRowFirstColumn="0" w:firstRowLastColumn="0" w:lastRowFirstColumn="0" w:lastRowLastColumn="0"/>
            </w:pPr>
            <w:r>
              <w:t>CCC</w:t>
            </w:r>
            <w:r w:rsidR="00641562" w:rsidRPr="00A841F8">
              <w:t xml:space="preserve"> Completers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hideMark/>
          </w:tcPr>
          <w:p w14:paraId="3118E8EF" w14:textId="77777777" w:rsidR="00641562" w:rsidRPr="00A841F8" w:rsidRDefault="00641562" w:rsidP="00064FED">
            <w:pPr>
              <w:pStyle w:val="Tableheadercenter"/>
              <w:cnfStyle w:val="000000100000" w:firstRow="0" w:lastRow="0" w:firstColumn="0" w:lastColumn="0" w:oddVBand="0" w:evenVBand="0" w:oddHBand="1" w:evenHBand="0" w:firstRowFirstColumn="0" w:firstRowLastColumn="0" w:lastRowFirstColumn="0" w:lastRowLastColumn="0"/>
            </w:pPr>
            <w:r>
              <w:t>Total Gap or Surplus</w:t>
            </w:r>
          </w:p>
        </w:tc>
      </w:tr>
      <w:tr w:rsidR="00064FED" w:rsidRPr="00A841F8" w14:paraId="08C3D7AA"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DAB5F3" w14:textId="2DD07299" w:rsidR="00064FED" w:rsidRPr="00BF4480" w:rsidRDefault="00064FED" w:rsidP="00064FED">
            <w:pPr>
              <w:pStyle w:val="Tablenormalleft"/>
              <w:jc w:val="left"/>
            </w:pPr>
            <w:r w:rsidRPr="002B0473">
              <w:t>???</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D82EECA" w14:textId="2D0A60FE" w:rsidR="00064FED" w:rsidRPr="00BF4480"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General Office Occupations and Clerical Services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30F881D" w14:textId="2DFBD29E"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726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5E57403" w14:textId="1588E0F3"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80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EA068C3" w14:textId="5FF2BB12"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DFDA3B" w14:textId="51155CE7"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646 </w:t>
            </w:r>
          </w:p>
        </w:tc>
      </w:tr>
      <w:tr w:rsidR="00064FED" w:rsidRPr="00A841F8" w14:paraId="676A2855"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DD87784" w14:textId="1D3E730F" w:rsidR="00064FED" w:rsidRPr="00AC28B7" w:rsidRDefault="00064FED" w:rsidP="00064FED">
            <w:pPr>
              <w:pStyle w:val="Tablenormalleft"/>
              <w:jc w:val="left"/>
            </w:pPr>
            <w:r w:rsidRPr="002B0473">
              <w:t>1305.00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46DD946" w14:textId="096D5D40"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Child Development/Early Care and Education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5350F7E" w14:textId="49C74C9A"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313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FA05667" w14:textId="12D4207C"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1F6A0A" w14:textId="607D55C7"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33B315" w14:textId="0795FCBF"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309 </w:t>
            </w:r>
          </w:p>
        </w:tc>
      </w:tr>
      <w:tr w:rsidR="00064FED" w:rsidRPr="00A841F8" w14:paraId="60938E07"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463CEA7" w14:textId="50454948" w:rsidR="00064FED" w:rsidRPr="00AC28B7" w:rsidRDefault="00064FED" w:rsidP="00064FED">
            <w:pPr>
              <w:pStyle w:val="Tablenormalleft"/>
              <w:jc w:val="left"/>
            </w:pPr>
            <w:r w:rsidRPr="002B0473">
              <w:t>501.00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3FB7F83" w14:textId="6AAC3CA7"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 xml:space="preserve">Business and </w:t>
            </w:r>
            <w:r w:rsidR="00FD1431" w:rsidRPr="002B0473">
              <w:t>Comme</w:t>
            </w:r>
            <w:r w:rsidR="00FD1431">
              <w:t>nce</w:t>
            </w:r>
            <w:r w:rsidRPr="002B0473">
              <w:t>, General</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25789D2" w14:textId="08393070"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241</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4F3732" w14:textId="5259DB00"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056750" w14:textId="399AA52D"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7591BFC" w14:textId="5B944162"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236 </w:t>
            </w:r>
          </w:p>
        </w:tc>
      </w:tr>
      <w:tr w:rsidR="00064FED" w:rsidRPr="00A841F8" w14:paraId="5E8D8181"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77BC8DE" w14:textId="6728B414" w:rsidR="00064FED" w:rsidRPr="00AC28B7" w:rsidRDefault="00064FED" w:rsidP="00064FED">
            <w:pPr>
              <w:pStyle w:val="Tablenormalleft"/>
              <w:jc w:val="left"/>
            </w:pPr>
            <w:r w:rsidRPr="002B0473">
              <w:t>502.00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2D5EBCD" w14:textId="26D2CD94"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Accounting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C3FAC1" w14:textId="382B5E58"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206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0778B70" w14:textId="12CE6839"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86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2D32EA" w14:textId="5AF626CB"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17</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206EBB7" w14:textId="66232AE3"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120 </w:t>
            </w:r>
          </w:p>
        </w:tc>
      </w:tr>
      <w:tr w:rsidR="00064FED" w:rsidRPr="00A841F8" w14:paraId="450282F0"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7F0662B" w14:textId="6E57DA81" w:rsidR="00064FED" w:rsidRPr="00AC28B7" w:rsidRDefault="00064FED" w:rsidP="00064FED">
            <w:pPr>
              <w:pStyle w:val="Tablenormalleft"/>
              <w:jc w:val="left"/>
            </w:pPr>
            <w:r w:rsidRPr="002B0473">
              <w:t>514.20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8C490C" w14:textId="65F3F8F5"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Medical Office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CDB51DC" w14:textId="0D05B7AF"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224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4E0528A" w14:textId="3A1DEAB7"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106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CB6E60" w14:textId="3E047E7E"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32</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355FE1D" w14:textId="2CC13AD3"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118 </w:t>
            </w:r>
          </w:p>
        </w:tc>
      </w:tr>
      <w:tr w:rsidR="00064FED" w:rsidRPr="00A841F8" w14:paraId="529F170A"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DEBEB71" w14:textId="24948179" w:rsidR="00064FED" w:rsidRPr="00AC28B7" w:rsidRDefault="00064FED" w:rsidP="00064FED">
            <w:pPr>
              <w:pStyle w:val="Tablenormalleft"/>
              <w:jc w:val="left"/>
            </w:pPr>
            <w:r w:rsidRPr="002B0473">
              <w:t>1201.00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B40A4B" w14:textId="29653D35"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Health Occupations, General</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BFBBA95" w14:textId="4483453A"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193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331D014" w14:textId="51D4EA18"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81</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90862F7" w14:textId="6B25BEE4"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80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C94D15" w14:textId="387E340E"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112 </w:t>
            </w:r>
          </w:p>
        </w:tc>
      </w:tr>
      <w:tr w:rsidR="00064FED" w:rsidRPr="00A841F8" w14:paraId="6FFC21D5"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FB7F008" w14:textId="798C84B5" w:rsidR="00064FED" w:rsidRPr="00AC28B7" w:rsidRDefault="00064FED" w:rsidP="00064FED">
            <w:pPr>
              <w:pStyle w:val="Tablenormalleft"/>
              <w:jc w:val="left"/>
            </w:pPr>
            <w:r w:rsidRPr="002B0473">
              <w:t>505.00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803255" w14:textId="167F8BAB"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Business Administration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717AF08" w14:textId="34EDBDAC"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287</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2A2C30A" w14:textId="48DA74EC"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191</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9211726" w14:textId="293C5C1F"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581CF57" w14:textId="1B852DEA"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95 </w:t>
            </w:r>
          </w:p>
        </w:tc>
      </w:tr>
      <w:tr w:rsidR="00064FED" w:rsidRPr="00A841F8" w14:paraId="6CA7DB5A"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0D9DF11" w14:textId="17B07DCD" w:rsidR="00064FED" w:rsidRPr="00AC28B7" w:rsidRDefault="00064FED" w:rsidP="00064FED">
            <w:pPr>
              <w:pStyle w:val="Tablenormalleft"/>
              <w:jc w:val="left"/>
            </w:pPr>
            <w:r w:rsidRPr="002B0473">
              <w:t>101.00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4F8365" w14:textId="17B69D4B"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Agriculture Technology and Sciences, General</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270799C" w14:textId="14EA32B1"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95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FF606D3" w14:textId="6BD998E5"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70AC7E" w14:textId="382FA9CF"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960E1A" w14:textId="5D8610A1"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89 </w:t>
            </w:r>
          </w:p>
        </w:tc>
      </w:tr>
      <w:tr w:rsidR="00064FED" w:rsidRPr="00A841F8" w14:paraId="36881E3C"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B184DB6" w14:textId="4C916BDE" w:rsidR="00064FED" w:rsidRPr="00AC28B7" w:rsidRDefault="00064FED" w:rsidP="00064FED">
            <w:pPr>
              <w:pStyle w:val="Tablenormalleft"/>
              <w:jc w:val="left"/>
            </w:pPr>
            <w:r w:rsidRPr="002B0473">
              <w:t>103.00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6A270B" w14:textId="24B99C7A"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Plant Science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68A85C" w14:textId="54B7F631"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108</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F0FC9AF" w14:textId="51170982"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BB90682" w14:textId="24ABE0EC"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43B6B17" w14:textId="6E5B2B2A"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79 </w:t>
            </w:r>
          </w:p>
        </w:tc>
      </w:tr>
      <w:tr w:rsidR="00064FED" w:rsidRPr="00A841F8" w14:paraId="7F219E4A"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C0031FB" w14:textId="5626932B" w:rsidR="00064FED" w:rsidRPr="00AC28B7" w:rsidRDefault="00064FED" w:rsidP="00064FED">
            <w:pPr>
              <w:pStyle w:val="Tablenormalleft"/>
              <w:jc w:val="left"/>
            </w:pPr>
            <w:r w:rsidRPr="002B0473">
              <w:t>514.00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E8A3EDA" w14:textId="199D4FD8"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Office Technology/Office Computer Applications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89A14C6" w14:textId="5E2E0F97"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196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A1BD934" w14:textId="61AB1D15"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125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688198" w14:textId="7796893C"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409F07" w14:textId="7514A8BE"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70 </w:t>
            </w:r>
          </w:p>
        </w:tc>
      </w:tr>
      <w:tr w:rsidR="00064FED" w:rsidRPr="00A841F8" w14:paraId="7050A43E"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E857E7" w14:textId="2756747E" w:rsidR="00064FED" w:rsidRPr="00AC28B7" w:rsidRDefault="00064FED" w:rsidP="00064FED">
            <w:pPr>
              <w:pStyle w:val="Tablenormalleft"/>
              <w:jc w:val="left"/>
            </w:pPr>
            <w:r w:rsidRPr="002B0473">
              <w:t>505.00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48100D9" w14:textId="6BE4535F"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Business Administration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40A6D0F" w14:textId="3178EC90"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66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F06A566" w14:textId="41D17179"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D0428CC" w14:textId="2CFA5B5C"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9E05C8" w14:textId="6EF39155"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62 </w:t>
            </w:r>
          </w:p>
        </w:tc>
      </w:tr>
      <w:tr w:rsidR="00064FED" w:rsidRPr="00A841F8" w14:paraId="03CBD31B"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1E890D" w14:textId="639C1AFB" w:rsidR="00064FED" w:rsidRPr="00AC28B7" w:rsidRDefault="00064FED" w:rsidP="00064FED">
            <w:pPr>
              <w:pStyle w:val="Tablenormalleft"/>
              <w:jc w:val="left"/>
            </w:pPr>
            <w:r w:rsidRPr="002B0473">
              <w:t>116.00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67CB946" w14:textId="5705A360"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Agricultural Power Equipment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DC8E84" w14:textId="17BC1089"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70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5440DB" w14:textId="51ECE455"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44908C6" w14:textId="116179A9"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13</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E24709" w14:textId="7F18B32E"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57 </w:t>
            </w:r>
          </w:p>
        </w:tc>
      </w:tr>
      <w:tr w:rsidR="00064FED" w:rsidRPr="00A841F8" w14:paraId="0DC01404"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692852A" w14:textId="7A0F3344" w:rsidR="00064FED" w:rsidRPr="00AC28B7" w:rsidRDefault="00064FED" w:rsidP="00064FED">
            <w:pPr>
              <w:pStyle w:val="Tablenormalleft"/>
              <w:jc w:val="left"/>
            </w:pPr>
            <w:r w:rsidRPr="002B0473">
              <w:t>112.00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0B896D" w14:textId="002107B9"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Agriculture Business, Sales and Service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BA40D64" w14:textId="2AB90BA0"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95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FA2734A" w14:textId="48E56EA4"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62DE668" w14:textId="33FDEB69"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ECD54E" w14:textId="4D871C23"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56 </w:t>
            </w:r>
          </w:p>
        </w:tc>
      </w:tr>
      <w:tr w:rsidR="00064FED" w:rsidRPr="00A841F8" w14:paraId="410F7E95"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2DF46B0" w14:textId="22FA4DC7" w:rsidR="00064FED" w:rsidRPr="00AC28B7" w:rsidRDefault="00064FED" w:rsidP="00064FED">
            <w:pPr>
              <w:pStyle w:val="Tablenormalleft"/>
              <w:jc w:val="left"/>
            </w:pPr>
            <w:r w:rsidRPr="002B0473">
              <w:t>502.00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AA7AF6B" w14:textId="00214191"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Accounting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E0181C5" w14:textId="3901A8D8"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49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ADC63F8" w14:textId="00811A96"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3F3EF3F" w14:textId="4BAC9977"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7</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2E08AC" w14:textId="00FBBFFA"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40 </w:t>
            </w:r>
          </w:p>
        </w:tc>
      </w:tr>
      <w:tr w:rsidR="00064FED" w:rsidRPr="00A841F8" w14:paraId="5CE7BCEA"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1D22949" w14:textId="0DF7D3CA" w:rsidR="00064FED" w:rsidRPr="00AC28B7" w:rsidRDefault="00064FED" w:rsidP="00064FED">
            <w:pPr>
              <w:pStyle w:val="Tablenormalleft"/>
              <w:jc w:val="left"/>
            </w:pPr>
            <w:r w:rsidRPr="002B0473">
              <w:t>835.00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86B6C8" w14:textId="387C4F7F"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Physical Education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1EC14A" w14:textId="41119864"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BEA1B49" w14:textId="113EA1D5"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258C78" w14:textId="00536D10"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E8AC656" w14:textId="577D66FD"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23 </w:t>
            </w:r>
          </w:p>
        </w:tc>
      </w:tr>
      <w:tr w:rsidR="00064FED" w:rsidRPr="00A841F8" w14:paraId="139FF58F"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E434FC" w14:textId="673DEE2D" w:rsidR="00064FED" w:rsidRPr="00AC28B7" w:rsidRDefault="00064FED" w:rsidP="00064FED">
            <w:pPr>
              <w:pStyle w:val="Tablenormalleft"/>
              <w:jc w:val="left"/>
            </w:pPr>
            <w:r w:rsidRPr="002B0473">
              <w:t>708.10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AD16570" w14:textId="370942B1"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Computer Networking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E2D54E0" w14:textId="188560F0"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1DF164" w14:textId="0E1B6843"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3C23EE6" w14:textId="38034908"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DF3F8E2" w14:textId="634BA0A5"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21 </w:t>
            </w:r>
          </w:p>
        </w:tc>
      </w:tr>
      <w:tr w:rsidR="00064FED" w:rsidRPr="00A841F8" w14:paraId="035B4476"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48972BB" w14:textId="37ED0847" w:rsidR="00064FED" w:rsidRPr="00AC28B7" w:rsidRDefault="00064FED" w:rsidP="00064FED">
            <w:pPr>
              <w:pStyle w:val="Tablenormalleft"/>
              <w:jc w:val="left"/>
            </w:pPr>
            <w:r w:rsidRPr="002B0473">
              <w:t>115.10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032E6D" w14:textId="4C30ECB3"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Parks and Outdoor Recreation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D18D1CF" w14:textId="61F5909C"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C35AD3E" w14:textId="0078ED6F"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2440276" w14:textId="47CCC69D"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61F21A9" w14:textId="23A3AFAE"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17 </w:t>
            </w:r>
          </w:p>
        </w:tc>
      </w:tr>
      <w:tr w:rsidR="00064FED" w:rsidRPr="00A841F8" w14:paraId="33DA3ED5"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BE1936B" w14:textId="22DEF27E" w:rsidR="00064FED" w:rsidRPr="00AC28B7" w:rsidRDefault="00064FED" w:rsidP="00064FED">
            <w:pPr>
              <w:pStyle w:val="Tablenormalleft"/>
              <w:jc w:val="left"/>
            </w:pPr>
            <w:r w:rsidRPr="002B0473">
              <w:t>950.00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7E12166" w14:textId="3165BDC1"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Aeronautical and Aviation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2CB225E" w14:textId="12F2903E"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32</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5F24198" w14:textId="19B510DB"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9CB4F11" w14:textId="0BDB6314"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7A519C4" w14:textId="68DFECD9"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16 </w:t>
            </w:r>
          </w:p>
        </w:tc>
      </w:tr>
      <w:tr w:rsidR="00064FED" w:rsidRPr="00A841F8" w14:paraId="6B183127"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BFFD9EB" w14:textId="7739E0C5" w:rsidR="00064FED" w:rsidRPr="00AC28B7" w:rsidRDefault="00064FED" w:rsidP="00064FED">
            <w:pPr>
              <w:pStyle w:val="Tablenormalleft"/>
              <w:jc w:val="left"/>
            </w:pPr>
            <w:r w:rsidRPr="002B0473">
              <w:t>958.00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157E862" w14:textId="3DF261EC"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Water and Wastewater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47AD38B" w14:textId="14831932"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7122A19" w14:textId="7F7D6CB5"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E6008A" w14:textId="3372194E"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AF6090" w14:textId="5C6816D7"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16 </w:t>
            </w:r>
          </w:p>
        </w:tc>
      </w:tr>
      <w:tr w:rsidR="00064FED" w:rsidRPr="00A841F8" w14:paraId="3F76FB19"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5407958" w14:textId="7F54B74F" w:rsidR="00064FED" w:rsidRPr="00AC28B7" w:rsidRDefault="00064FED" w:rsidP="00064FED">
            <w:pPr>
              <w:pStyle w:val="Tablenormalleft"/>
              <w:jc w:val="left"/>
            </w:pPr>
            <w:r w:rsidRPr="002B0473">
              <w:t>948.00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57C0F37" w14:textId="30F0F895"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Automotive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360A08D" w14:textId="09FDE346"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90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CFC0674" w14:textId="07D2D62B"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77</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B908A0C" w14:textId="3CC661E1"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30CDC95" w14:textId="6F26EA21"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13 </w:t>
            </w:r>
          </w:p>
        </w:tc>
      </w:tr>
      <w:tr w:rsidR="00064FED" w:rsidRPr="00A841F8" w14:paraId="4853C797"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7E8A6F" w14:textId="2C17C420" w:rsidR="00064FED" w:rsidRPr="00AC28B7" w:rsidRDefault="00064FED" w:rsidP="00064FED">
            <w:pPr>
              <w:pStyle w:val="Tablenormalleft"/>
              <w:jc w:val="left"/>
            </w:pPr>
            <w:r w:rsidRPr="002B0473">
              <w:t>702.00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F9184B0" w14:textId="72857CE1"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Computer Information Systems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C9C2EE6" w14:textId="621E8F38"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C01B07" w14:textId="63CD0707"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AD99D8D" w14:textId="76A77DC6"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97E2B67" w14:textId="61327E8D"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11 </w:t>
            </w:r>
          </w:p>
        </w:tc>
      </w:tr>
      <w:tr w:rsidR="00064FED" w:rsidRPr="00A841F8" w14:paraId="438CC9D8"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9CC165A" w14:textId="1C87E6A6" w:rsidR="00064FED" w:rsidRPr="00AC28B7" w:rsidRDefault="00064FED" w:rsidP="00064FED">
            <w:pPr>
              <w:pStyle w:val="Tablenormalleft"/>
              <w:jc w:val="left"/>
            </w:pPr>
            <w:r w:rsidRPr="002B0473">
              <w:t>506.40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5822613" w14:textId="63FC069B"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Small Business and Entrepreneurship</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CFBADA0" w14:textId="621D67CE"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409D3A" w14:textId="10D23A7E"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FDCAC90" w14:textId="58A5905B"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FD4D8C5" w14:textId="2A19877C"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11 </w:t>
            </w:r>
          </w:p>
        </w:tc>
      </w:tr>
      <w:tr w:rsidR="00064FED" w:rsidRPr="00A841F8" w14:paraId="50BA95D4"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4E1ADDB" w14:textId="3B81FABB" w:rsidR="00064FED" w:rsidRPr="00AC28B7" w:rsidRDefault="00064FED" w:rsidP="00064FED">
            <w:pPr>
              <w:pStyle w:val="Tablenormalleft"/>
              <w:jc w:val="left"/>
            </w:pPr>
            <w:r w:rsidRPr="002B0473">
              <w:t>115.00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D78381" w14:textId="2E654C3E"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 xml:space="preserve">Natural </w:t>
            </w:r>
            <w:r w:rsidR="00FD1431" w:rsidRPr="002B0473">
              <w:t>Resou</w:t>
            </w:r>
            <w:r w:rsidR="00FD1431">
              <w:t>rce</w:t>
            </w:r>
            <w:r w:rsidR="00FD1431" w:rsidRPr="002B0473">
              <w:t>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6DC9047" w14:textId="7A5C5295"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97D846" w14:textId="1FA9A667"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A50CA9F" w14:textId="193D1B75"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87A23C3" w14:textId="07FB0CC7"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9 </w:t>
            </w:r>
          </w:p>
        </w:tc>
      </w:tr>
      <w:tr w:rsidR="00064FED" w:rsidRPr="00A841F8" w14:paraId="7A5CC3B4"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1FFBE4" w14:textId="596CF313" w:rsidR="00064FED" w:rsidRPr="00AC28B7" w:rsidRDefault="00064FED" w:rsidP="00064FED">
            <w:pPr>
              <w:pStyle w:val="Tablenormalleft"/>
              <w:jc w:val="left"/>
            </w:pPr>
            <w:r w:rsidRPr="002B0473">
              <w:t>614.60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20F3EC2" w14:textId="375A5E46"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Computer Graphics and Digital Imagery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DE765BA" w14:textId="37B8FE8B"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3674D2" w14:textId="49C491E0"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12C9DD7" w14:textId="169BBA26"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7B01D31" w14:textId="2C5DDFAE"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8 </w:t>
            </w:r>
          </w:p>
        </w:tc>
      </w:tr>
      <w:tr w:rsidR="00064FED" w:rsidRPr="00A841F8" w14:paraId="4C27DE49"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F31789" w14:textId="4259442C" w:rsidR="00064FED" w:rsidRPr="00AC28B7" w:rsidRDefault="00064FED" w:rsidP="00064FED">
            <w:pPr>
              <w:pStyle w:val="Tablenormalleft"/>
              <w:jc w:val="left"/>
            </w:pPr>
            <w:r w:rsidRPr="002B0473">
              <w:t>114.00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DAC320" w14:textId="0FD6DB1F"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Forestry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C7C9318" w14:textId="76EFDA73"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223CBD9" w14:textId="0F8178EF"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2500C49" w14:textId="77E33AE9"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3F43F2A" w14:textId="418622D6"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5 </w:t>
            </w:r>
          </w:p>
        </w:tc>
      </w:tr>
      <w:tr w:rsidR="00064FED" w:rsidRPr="00A841F8" w14:paraId="031A6CA1"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0DA35D" w14:textId="7EF77D52" w:rsidR="00064FED" w:rsidRPr="00AC28B7" w:rsidRDefault="00064FED" w:rsidP="00064FED">
            <w:pPr>
              <w:pStyle w:val="Tablenormalleft"/>
              <w:jc w:val="left"/>
            </w:pPr>
            <w:r w:rsidRPr="002B0473">
              <w:t>701.00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74110F5" w14:textId="5DD2B774"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Information Technology, General</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6346F9A" w14:textId="39A72863"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4AA56AA" w14:textId="133A3FB0"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22</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5CB8B01" w14:textId="5DE962FE"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A077A3" w14:textId="329F2150"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4 </w:t>
            </w:r>
          </w:p>
        </w:tc>
      </w:tr>
      <w:tr w:rsidR="00064FED" w:rsidRPr="00A841F8" w14:paraId="5964525A"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EA9108" w14:textId="79C8F34C" w:rsidR="00064FED" w:rsidRPr="00AC28B7" w:rsidRDefault="00064FED" w:rsidP="00064FED">
            <w:pPr>
              <w:pStyle w:val="Tablenormalleft"/>
              <w:jc w:val="left"/>
            </w:pPr>
            <w:r w:rsidRPr="002B0473">
              <w:t>114.00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9CAB8B2" w14:textId="57F64A2C"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Forestry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11C67E0" w14:textId="70212A85"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C99C5F" w14:textId="31BFBACC"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80B17F" w14:textId="4B166315"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22610EF" w14:textId="288D0A1A"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 xml:space="preserve">3 </w:t>
            </w:r>
          </w:p>
        </w:tc>
      </w:tr>
      <w:tr w:rsidR="00064FED" w:rsidRPr="00A841F8" w14:paraId="225851C8"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7B82218" w14:textId="59C59DC4" w:rsidR="00064FED" w:rsidRPr="00AC28B7" w:rsidRDefault="00064FED" w:rsidP="00064FED">
            <w:pPr>
              <w:pStyle w:val="Tablenormalleft"/>
              <w:jc w:val="left"/>
            </w:pPr>
            <w:r w:rsidRPr="002B0473">
              <w:t>1230.00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E00AD03" w14:textId="468F9C42"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Nursing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FA3211" w14:textId="213F818F"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B5F982F" w14:textId="47A71D8C"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D5E0D08" w14:textId="438AF68D"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26AA18" w14:textId="2A03DC44"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 xml:space="preserve">0 </w:t>
            </w:r>
          </w:p>
        </w:tc>
      </w:tr>
      <w:tr w:rsidR="00064FED" w:rsidRPr="00A841F8" w14:paraId="66322CD7"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A271E80" w14:textId="533A402D" w:rsidR="00064FED" w:rsidRPr="00AC28B7" w:rsidRDefault="00064FED" w:rsidP="00064FED">
            <w:pPr>
              <w:pStyle w:val="Tablenormalleft"/>
              <w:jc w:val="left"/>
            </w:pPr>
            <w:r w:rsidRPr="002B0473">
              <w:t>709.00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CA13CD" w14:textId="72C7463B"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World Wide Web Administration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866909D" w14:textId="22B0032D"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C6BB83" w14:textId="437F4961"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01480AE" w14:textId="73817953"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998939" w14:textId="43FE7362"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w:t>
            </w:r>
          </w:p>
        </w:tc>
      </w:tr>
      <w:tr w:rsidR="00064FED" w:rsidRPr="00A841F8" w14:paraId="4C3A4CEA"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918282" w14:textId="149CB6CE" w:rsidR="00064FED" w:rsidRPr="00AC28B7" w:rsidRDefault="00064FED" w:rsidP="00064FED">
            <w:pPr>
              <w:pStyle w:val="Tablenormalleft"/>
              <w:jc w:val="left"/>
            </w:pPr>
            <w:r w:rsidRPr="002B0473">
              <w:t>950.20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C488494" w14:textId="1D385C48"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Aviation Powerplant Mechanics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512E2F5" w14:textId="201A2104"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0998587" w14:textId="0B49E64B"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31</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CA4728B" w14:textId="06F22983"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CB2AEB" w14:textId="150D18C6"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w:t>
            </w:r>
          </w:p>
        </w:tc>
      </w:tr>
      <w:tr w:rsidR="00064FED" w:rsidRPr="00A841F8" w14:paraId="753F9F6B"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E2C4AA" w14:textId="5FE807F1" w:rsidR="00064FED" w:rsidRPr="00AC28B7" w:rsidRDefault="00064FED" w:rsidP="00064FED">
            <w:pPr>
              <w:pStyle w:val="Tablenormalleft"/>
              <w:jc w:val="left"/>
            </w:pPr>
            <w:r w:rsidRPr="002B0473">
              <w:t>116.00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69F8546" w14:textId="13B72A34" w:rsidR="00064FED" w:rsidRPr="00AC28B7"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Agricultural Power Equipment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C8AE43" w14:textId="0601941C"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18</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DD22664" w14:textId="40E78A0B"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21</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217B34E" w14:textId="7462901E"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2467D3E" w14:textId="1BD40E68" w:rsidR="00064FED" w:rsidRPr="00AC28B7"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w:t>
            </w:r>
          </w:p>
        </w:tc>
      </w:tr>
      <w:tr w:rsidR="00064FED" w:rsidRPr="00A841F8" w14:paraId="344698BE"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A6E867D" w14:textId="0275483A" w:rsidR="00064FED" w:rsidRPr="00AC28B7" w:rsidRDefault="00064FED" w:rsidP="00064FED">
            <w:pPr>
              <w:pStyle w:val="Tablenormalleft"/>
              <w:jc w:val="left"/>
            </w:pPr>
            <w:r w:rsidRPr="002B0473">
              <w:t>1030.00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D2A1938" w14:textId="5CF971A4" w:rsidR="00064FED" w:rsidRPr="00AC28B7"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Graphic Art and Design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3162879" w14:textId="00774686"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41B8D76" w14:textId="7C55534D"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00ECA1A" w14:textId="216E60B8"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7</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26BFFF0" w14:textId="50B05D90" w:rsidR="00064FED" w:rsidRPr="00AC28B7"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w:t>
            </w:r>
          </w:p>
        </w:tc>
      </w:tr>
      <w:tr w:rsidR="00064FED" w:rsidRPr="00A841F8" w14:paraId="0ADF3753"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C353A25" w14:textId="05A5DDDC" w:rsidR="00064FED" w:rsidRPr="00BF4480" w:rsidRDefault="00064FED" w:rsidP="00064FED">
            <w:pPr>
              <w:pStyle w:val="Tablenormalleft"/>
              <w:jc w:val="left"/>
            </w:pPr>
            <w:r w:rsidRPr="002B0473">
              <w:t>614.10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1048FC9" w14:textId="098CB251" w:rsidR="00064FED" w:rsidRPr="00BF4480"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Multimedia</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70CCC8A" w14:textId="4DFDC50F"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10F9EA8" w14:textId="3DF23674"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F464DD0" w14:textId="303C8C64"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723FE4B" w14:textId="1D4CE81F"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w:t>
            </w:r>
          </w:p>
        </w:tc>
      </w:tr>
      <w:tr w:rsidR="00064FED" w:rsidRPr="00A841F8" w14:paraId="762028F7"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05A27D8" w14:textId="6829D68C" w:rsidR="00064FED" w:rsidRPr="00BF4480" w:rsidRDefault="00064FED" w:rsidP="00064FED">
            <w:pPr>
              <w:pStyle w:val="Tablenormalleft"/>
              <w:jc w:val="left"/>
            </w:pPr>
            <w:r w:rsidRPr="002B0473">
              <w:t>399.00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DB76842" w14:textId="5746EF12" w:rsidR="00064FED" w:rsidRPr="00BF4480"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Environmental Sciences and Technologies, Other</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02756D6" w14:textId="757714DB"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03B25B0" w14:textId="5509CEC3"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8219187" w14:textId="6E231304"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D8B18C" w14:textId="7C835FA0"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(6)</w:t>
            </w:r>
          </w:p>
        </w:tc>
      </w:tr>
      <w:tr w:rsidR="00064FED" w:rsidRPr="00A841F8" w14:paraId="32CFF68A"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D07527" w14:textId="12CAD546" w:rsidR="00064FED" w:rsidRPr="00BF4480" w:rsidRDefault="00064FED" w:rsidP="00064FED">
            <w:pPr>
              <w:pStyle w:val="Tablenormalleft"/>
              <w:jc w:val="left"/>
            </w:pPr>
            <w:r w:rsidRPr="002B0473">
              <w:t>956.50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A2B48E3" w14:textId="4F01E5AB" w:rsidR="00064FED" w:rsidRPr="00BF4480"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Welding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997FFA3" w14:textId="7916C0DF"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736DB85" w14:textId="7AE9EBBF"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E9045D9" w14:textId="30F06E00"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19</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FD46914" w14:textId="536126F0"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(8)</w:t>
            </w:r>
          </w:p>
        </w:tc>
      </w:tr>
      <w:tr w:rsidR="00064FED" w:rsidRPr="00A841F8" w14:paraId="77BB2162"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F31D08A" w14:textId="453020B3" w:rsidR="00064FED" w:rsidRPr="00BF4480" w:rsidRDefault="00064FED" w:rsidP="00064FED">
            <w:pPr>
              <w:pStyle w:val="Tablenormalleft"/>
              <w:jc w:val="left"/>
            </w:pPr>
            <w:r w:rsidRPr="002B0473">
              <w:t>1305.20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51A381D" w14:textId="13FF0F8D" w:rsidR="00064FED" w:rsidRPr="00BF4480"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Children with Special Needs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9E7A5A6" w14:textId="2FC65E1D"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6CAA77A" w14:textId="125A15AD"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11</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787A274" w14:textId="49F754FF"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96FF949" w14:textId="683E29A1"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(8)</w:t>
            </w:r>
          </w:p>
        </w:tc>
      </w:tr>
      <w:tr w:rsidR="00064FED" w:rsidRPr="00A841F8" w14:paraId="165B92B7"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0FCB1D3" w14:textId="4C7D3FBC" w:rsidR="00064FED" w:rsidRPr="00BF4480" w:rsidRDefault="00064FED" w:rsidP="00064FED">
            <w:pPr>
              <w:pStyle w:val="Tablenormalleft"/>
              <w:jc w:val="left"/>
            </w:pPr>
            <w:r w:rsidRPr="002B0473">
              <w:t>708.20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93EC3D7" w14:textId="161B7C60" w:rsidR="00064FED" w:rsidRPr="00BF4480"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Computer Support</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7EC074A" w14:textId="221F3656"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4E08936" w14:textId="627B6175"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37</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4FCA29B" w14:textId="4350A06E"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18</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AF6BA72" w14:textId="0F5AD119"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(13)</w:t>
            </w:r>
          </w:p>
        </w:tc>
      </w:tr>
      <w:tr w:rsidR="00064FED" w:rsidRPr="00A841F8" w14:paraId="471939D3"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2182E27" w14:textId="6A3B4746" w:rsidR="00064FED" w:rsidRPr="00BF4480" w:rsidRDefault="00064FED" w:rsidP="00064FED">
            <w:pPr>
              <w:pStyle w:val="Tablenormalleft"/>
              <w:jc w:val="left"/>
            </w:pPr>
            <w:r w:rsidRPr="002B0473">
              <w:t>956.30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4AF6670" w14:textId="135C8A19" w:rsidR="00064FED" w:rsidRPr="00BF4480"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Machining and Machine Tools</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7F9891D" w14:textId="5C3607C2"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44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B0E00BE" w14:textId="3764D3E8"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58</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33F3F63" w14:textId="654A2462"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36</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C6F5B95" w14:textId="2DD0E099"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(14)</w:t>
            </w:r>
          </w:p>
        </w:tc>
      </w:tr>
      <w:tr w:rsidR="00064FED" w:rsidRPr="00A841F8" w14:paraId="44D72D05"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4408207" w14:textId="1409374A" w:rsidR="00064FED" w:rsidRPr="00BF4480" w:rsidRDefault="00064FED" w:rsidP="00064FED">
            <w:pPr>
              <w:pStyle w:val="Tablenormalleft"/>
              <w:jc w:val="left"/>
            </w:pPr>
            <w:r w:rsidRPr="002B0473">
              <w:t>114.00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C92F5D" w14:textId="0F1BCEDF" w:rsidR="00064FED" w:rsidRPr="00BF4480"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Forestry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2B0769" w14:textId="6795C438"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BC80DF4" w14:textId="40634C08"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32</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4CC1612" w14:textId="17606A94"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30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4776E82" w14:textId="42DDD60A"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(18)</w:t>
            </w:r>
          </w:p>
        </w:tc>
      </w:tr>
      <w:tr w:rsidR="00064FED" w:rsidRPr="00A841F8" w14:paraId="29B7E602"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8E54ADD" w14:textId="03BBB75B" w:rsidR="00064FED" w:rsidRPr="00BF4480" w:rsidRDefault="00064FED" w:rsidP="00064FED">
            <w:pPr>
              <w:pStyle w:val="Tablenormalleft"/>
              <w:jc w:val="left"/>
            </w:pPr>
            <w:r w:rsidRPr="002B0473">
              <w:t>956.00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75D421" w14:textId="67F49D76" w:rsidR="00064FED" w:rsidRPr="00BF4480"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Manufacturing and Industrial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657D9A4" w14:textId="5808972F"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34558BF" w14:textId="0453077F"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34</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6A6E14" w14:textId="12DD6856"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11</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C0DD52D" w14:textId="1CDDDE51"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(30)</w:t>
            </w:r>
          </w:p>
        </w:tc>
      </w:tr>
      <w:tr w:rsidR="00064FED" w:rsidRPr="00A841F8" w14:paraId="22510E7E"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B1D0084" w14:textId="3F68352E" w:rsidR="00064FED" w:rsidRPr="00BF4480" w:rsidRDefault="00064FED" w:rsidP="00064FED">
            <w:pPr>
              <w:pStyle w:val="Tablenormalleft"/>
              <w:jc w:val="left"/>
            </w:pPr>
            <w:r w:rsidRPr="002B0473">
              <w:t>614.30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2A97FA0" w14:textId="22F03056" w:rsidR="00064FED" w:rsidRPr="00BF4480"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Website Design and Development</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B91F563" w14:textId="53DCDA12"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97FD61F" w14:textId="4DD63363"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58</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46202E" w14:textId="5F0C02DE"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54D520A" w14:textId="51136FDF"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(45)</w:t>
            </w:r>
          </w:p>
        </w:tc>
      </w:tr>
      <w:tr w:rsidR="00064FED" w:rsidRPr="00A841F8" w14:paraId="6201333C"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EA5F757" w14:textId="2D6B7F4C" w:rsidR="00064FED" w:rsidRPr="00BF4480" w:rsidRDefault="00064FED" w:rsidP="00064FED">
            <w:pPr>
              <w:pStyle w:val="Tablenormalleft"/>
              <w:jc w:val="left"/>
            </w:pPr>
            <w:r w:rsidRPr="002B0473">
              <w:t>1305.00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0E9D2D" w14:textId="50B70962" w:rsidR="00064FED" w:rsidRPr="00BF4480"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Child Development/Early Care and Education</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B06F49" w14:textId="43E94A0C"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220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AAA163E" w14:textId="627E3FAD"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279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A241E03" w14:textId="47ECAC73"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65</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6A062F5" w14:textId="73D12E23"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(59)</w:t>
            </w:r>
          </w:p>
        </w:tc>
      </w:tr>
      <w:tr w:rsidR="00064FED" w:rsidRPr="00A841F8" w14:paraId="6A2DA753"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2A9746A" w14:textId="54888084" w:rsidR="00064FED" w:rsidRPr="00BF4480" w:rsidRDefault="00064FED" w:rsidP="00064FED">
            <w:pPr>
              <w:pStyle w:val="Tablenormalleft"/>
              <w:jc w:val="left"/>
            </w:pPr>
            <w:r w:rsidRPr="002B0473">
              <w:t>2105.00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E3C393" w14:textId="753907AA" w:rsidR="00064FED" w:rsidRPr="00BF4480"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Administration of Justice</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1D2B9AB" w14:textId="07B1E9F8"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70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C2991BD" w14:textId="1F9D3760"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131</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1C8D77A" w14:textId="67C489E8"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0FF38AA" w14:textId="59150D9A"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(61)</w:t>
            </w:r>
          </w:p>
        </w:tc>
      </w:tr>
      <w:tr w:rsidR="00064FED" w:rsidRPr="00A841F8" w14:paraId="360C5C33"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5F90B9" w14:textId="7C49B5E5" w:rsidR="00064FED" w:rsidRPr="00BF4480" w:rsidRDefault="00064FED" w:rsidP="00064FED">
            <w:pPr>
              <w:pStyle w:val="Tablenormalleft"/>
              <w:jc w:val="left"/>
            </w:pPr>
            <w:r w:rsidRPr="002B0473">
              <w:t>116.00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3FF7CD" w14:textId="0B00D364" w:rsidR="00064FED" w:rsidRPr="00BF4480"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Agricultural Power Equipment Technology</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125135" w14:textId="3FEB289E"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57</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C24103" w14:textId="04C3A90A"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140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344D301" w14:textId="51AC2D4D"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140</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25F88B5" w14:textId="64F3C8C6"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(83)</w:t>
            </w:r>
          </w:p>
        </w:tc>
      </w:tr>
      <w:tr w:rsidR="00064FED" w:rsidRPr="00A841F8" w14:paraId="213677E9"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5C9A583" w14:textId="3F900E8F" w:rsidR="00064FED" w:rsidRPr="00BF4480" w:rsidRDefault="00064FED" w:rsidP="00064FED">
            <w:pPr>
              <w:pStyle w:val="Tablenormalleft"/>
              <w:jc w:val="left"/>
            </w:pPr>
            <w:r w:rsidRPr="002B0473">
              <w:t>1230.20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DF8B00" w14:textId="3F43FAF4" w:rsidR="00064FED" w:rsidRPr="00BF4480" w:rsidRDefault="00064FED" w:rsidP="00064FED">
            <w:pPr>
              <w:pStyle w:val="Tablenormalleft"/>
              <w:jc w:val="left"/>
              <w:cnfStyle w:val="000000010000" w:firstRow="0" w:lastRow="0" w:firstColumn="0" w:lastColumn="0" w:oddVBand="0" w:evenVBand="0" w:oddHBand="0" w:evenHBand="1" w:firstRowFirstColumn="0" w:firstRowLastColumn="0" w:lastRowFirstColumn="0" w:lastRowLastColumn="0"/>
            </w:pPr>
            <w:r w:rsidRPr="002B0473">
              <w:t>Licensed Vocational Nursing</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1E454F1" w14:textId="35A8B65F"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110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F9B8880" w14:textId="7177C478"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220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CD0865E" w14:textId="4D93B50C"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64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6BFA555" w14:textId="1AB95751" w:rsidR="00064FED" w:rsidRPr="00BF4480" w:rsidRDefault="00064FED" w:rsidP="00064FED">
            <w:pPr>
              <w:pStyle w:val="Tablenormalright"/>
              <w:cnfStyle w:val="000000010000" w:firstRow="0" w:lastRow="0" w:firstColumn="0" w:lastColumn="0" w:oddVBand="0" w:evenVBand="0" w:oddHBand="0" w:evenHBand="1" w:firstRowFirstColumn="0" w:firstRowLastColumn="0" w:lastRowFirstColumn="0" w:lastRowLastColumn="0"/>
            </w:pPr>
            <w:r w:rsidRPr="002B0473">
              <w:t>(109)</w:t>
            </w:r>
          </w:p>
        </w:tc>
      </w:tr>
      <w:tr w:rsidR="00064FED" w:rsidRPr="00A841F8" w14:paraId="2180A0A3"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3140F04" w14:textId="5EC784EC" w:rsidR="00064FED" w:rsidRPr="00BF4480" w:rsidRDefault="00064FED" w:rsidP="00064FED">
            <w:pPr>
              <w:pStyle w:val="Tablenormalleft"/>
              <w:jc w:val="left"/>
            </w:pPr>
            <w:r w:rsidRPr="002B0473">
              <w:t>1240.10</w:t>
            </w:r>
          </w:p>
        </w:tc>
        <w:tc>
          <w:tcPr>
            <w:tcW w:w="389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90E2D8" w14:textId="58D14238" w:rsidR="00064FED" w:rsidRPr="00BF4480" w:rsidRDefault="00064FED" w:rsidP="00064FED">
            <w:pPr>
              <w:pStyle w:val="Tablenormalleft"/>
              <w:jc w:val="left"/>
              <w:cnfStyle w:val="000000100000" w:firstRow="0" w:lastRow="0" w:firstColumn="0" w:lastColumn="0" w:oddVBand="0" w:evenVBand="0" w:oddHBand="1" w:evenHBand="0" w:firstRowFirstColumn="0" w:firstRowLastColumn="0" w:lastRowFirstColumn="0" w:lastRowLastColumn="0"/>
            </w:pPr>
            <w:r w:rsidRPr="002B0473">
              <w:t>Dental Assistant</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5B62DD" w14:textId="1011DFBE"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39</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4ECB5CA" w14:textId="46FA4B27"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196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806E9CF" w14:textId="320A95AC"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24</w:t>
            </w:r>
          </w:p>
        </w:tc>
        <w:tc>
          <w:tcPr>
            <w:tcW w:w="108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44ABD3" w14:textId="78DB22B3" w:rsidR="00064FED" w:rsidRPr="00BF4480" w:rsidRDefault="00064FED" w:rsidP="00064FED">
            <w:pPr>
              <w:pStyle w:val="Tablenormalright"/>
              <w:cnfStyle w:val="000000100000" w:firstRow="0" w:lastRow="0" w:firstColumn="0" w:lastColumn="0" w:oddVBand="0" w:evenVBand="0" w:oddHBand="1" w:evenHBand="0" w:firstRowFirstColumn="0" w:firstRowLastColumn="0" w:lastRowFirstColumn="0" w:lastRowLastColumn="0"/>
            </w:pPr>
            <w:r w:rsidRPr="002B0473">
              <w:t>(158)</w:t>
            </w:r>
          </w:p>
        </w:tc>
      </w:tr>
    </w:tbl>
    <w:p w14:paraId="18C210AA" w14:textId="4F8B9755" w:rsidR="00064FED" w:rsidRDefault="00064FED" w:rsidP="0059791A">
      <w:pPr>
        <w:pStyle w:val="Caption"/>
        <w:jc w:val="right"/>
      </w:pPr>
    </w:p>
    <w:tbl>
      <w:tblPr>
        <w:tblStyle w:val="MediumShading1-Accent1"/>
        <w:tblW w:w="9468" w:type="dxa"/>
        <w:tblBorders>
          <w:insideV w:val="single" w:sz="8" w:space="0" w:color="7BA0CD" w:themeColor="accent1" w:themeTint="BF"/>
        </w:tblBorders>
        <w:tblLayout w:type="fixed"/>
        <w:tblLook w:val="04A0" w:firstRow="1" w:lastRow="0" w:firstColumn="1" w:lastColumn="0" w:noHBand="0" w:noVBand="1"/>
      </w:tblPr>
      <w:tblGrid>
        <w:gridCol w:w="895"/>
        <w:gridCol w:w="4073"/>
        <w:gridCol w:w="1080"/>
        <w:gridCol w:w="1260"/>
        <w:gridCol w:w="1260"/>
        <w:gridCol w:w="900"/>
      </w:tblGrid>
      <w:tr w:rsidR="00641562" w:rsidRPr="005D49D1" w14:paraId="484C7E6B" w14:textId="77777777" w:rsidTr="0088105B">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468" w:type="dxa"/>
            <w:gridSpan w:val="6"/>
            <w:tcBorders>
              <w:top w:val="nil"/>
              <w:left w:val="nil"/>
              <w:right w:val="nil"/>
            </w:tcBorders>
            <w:shd w:val="clear" w:color="auto" w:fill="auto"/>
            <w:vAlign w:val="bottom"/>
          </w:tcPr>
          <w:p w14:paraId="6805F9C9" w14:textId="7E3D77E7" w:rsidR="00641562" w:rsidRPr="00244673" w:rsidRDefault="00641562" w:rsidP="006A4240">
            <w:pPr>
              <w:pStyle w:val="Tabletitle"/>
              <w:rPr>
                <w:b/>
              </w:rPr>
            </w:pPr>
            <w:r w:rsidRPr="00244673">
              <w:rPr>
                <w:b/>
              </w:rPr>
              <w:t xml:space="preserve">Table A4.2: Alternative Supply and Demand for </w:t>
            </w:r>
            <w:r w:rsidR="006C38C7">
              <w:rPr>
                <w:b/>
              </w:rPr>
              <w:t>CCC</w:t>
            </w:r>
            <w:r w:rsidRPr="00244673">
              <w:rPr>
                <w:b/>
              </w:rPr>
              <w:t>’s</w:t>
            </w:r>
            <w:r w:rsidR="00222A71">
              <w:rPr>
                <w:b/>
              </w:rPr>
              <w:t xml:space="preserve"> </w:t>
            </w:r>
            <w:r w:rsidRPr="00244673">
              <w:rPr>
                <w:b/>
              </w:rPr>
              <w:t>Associate’s Degree Programs</w:t>
            </w:r>
          </w:p>
        </w:tc>
      </w:tr>
      <w:tr w:rsidR="00641562" w:rsidRPr="005D49D1" w14:paraId="57F0ACBC" w14:textId="77777777" w:rsidTr="00CF4D11">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895" w:type="dxa"/>
            <w:tcBorders>
              <w:bottom w:val="single" w:sz="8" w:space="0" w:color="7BA0CD" w:themeColor="accent1" w:themeTint="BF"/>
              <w:right w:val="none" w:sz="0" w:space="0" w:color="auto"/>
            </w:tcBorders>
            <w:shd w:val="clear" w:color="auto" w:fill="4F81BD" w:themeFill="accent1"/>
            <w:vAlign w:val="center"/>
            <w:hideMark/>
          </w:tcPr>
          <w:p w14:paraId="399AA603" w14:textId="7A4FCEE0" w:rsidR="00641562" w:rsidRPr="005D49D1" w:rsidRDefault="00052DD2" w:rsidP="00CF4D11">
            <w:pPr>
              <w:pStyle w:val="Tableheaderleft"/>
              <w:keepNext w:val="0"/>
              <w:widowControl w:val="0"/>
              <w:jc w:val="center"/>
            </w:pPr>
            <w:r>
              <w:t>TOP</w:t>
            </w:r>
          </w:p>
        </w:tc>
        <w:tc>
          <w:tcPr>
            <w:tcW w:w="4073" w:type="dxa"/>
            <w:tcBorders>
              <w:left w:val="none" w:sz="0" w:space="0" w:color="auto"/>
              <w:bottom w:val="single" w:sz="8" w:space="0" w:color="7BA0CD" w:themeColor="accent1" w:themeTint="BF"/>
              <w:right w:val="none" w:sz="0" w:space="0" w:color="auto"/>
            </w:tcBorders>
            <w:shd w:val="clear" w:color="auto" w:fill="4F81BD" w:themeFill="accent1"/>
            <w:vAlign w:val="center"/>
            <w:hideMark/>
          </w:tcPr>
          <w:p w14:paraId="7CDFA471" w14:textId="77777777" w:rsidR="00641562" w:rsidRPr="005D49D1" w:rsidRDefault="00641562" w:rsidP="00CF4D11">
            <w:pPr>
              <w:pStyle w:val="Tableheaderleft"/>
              <w:keepNext w:val="0"/>
              <w:widowControl w:val="0"/>
              <w:jc w:val="center"/>
              <w:cnfStyle w:val="000000100000" w:firstRow="0" w:lastRow="0" w:firstColumn="0" w:lastColumn="0" w:oddVBand="0" w:evenVBand="0" w:oddHBand="1" w:evenHBand="0" w:firstRowFirstColumn="0" w:firstRowLastColumn="0" w:lastRowFirstColumn="0" w:lastRowLastColumn="0"/>
            </w:pPr>
            <w:r w:rsidRPr="005D49D1">
              <w:t>Program</w:t>
            </w:r>
          </w:p>
        </w:tc>
        <w:tc>
          <w:tcPr>
            <w:tcW w:w="1080" w:type="dxa"/>
            <w:tcBorders>
              <w:left w:val="none" w:sz="0" w:space="0" w:color="auto"/>
              <w:bottom w:val="single" w:sz="8" w:space="0" w:color="7BA0CD" w:themeColor="accent1" w:themeTint="BF"/>
              <w:right w:val="none" w:sz="0" w:space="0" w:color="auto"/>
            </w:tcBorders>
            <w:shd w:val="clear" w:color="auto" w:fill="4F81BD" w:themeFill="accent1"/>
            <w:vAlign w:val="center"/>
            <w:hideMark/>
          </w:tcPr>
          <w:p w14:paraId="2AB47DB6" w14:textId="77777777" w:rsidR="00641562" w:rsidRPr="005D49D1" w:rsidRDefault="00641562" w:rsidP="00CF4D11">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t>Average Annual Openings</w:t>
            </w:r>
          </w:p>
        </w:tc>
        <w:tc>
          <w:tcPr>
            <w:tcW w:w="1260" w:type="dxa"/>
            <w:tcBorders>
              <w:left w:val="none" w:sz="0" w:space="0" w:color="auto"/>
              <w:bottom w:val="single" w:sz="8" w:space="0" w:color="7BA0CD" w:themeColor="accent1" w:themeTint="BF"/>
              <w:right w:val="none" w:sz="0" w:space="0" w:color="auto"/>
            </w:tcBorders>
            <w:shd w:val="clear" w:color="auto" w:fill="4F81BD" w:themeFill="accent1"/>
            <w:vAlign w:val="center"/>
            <w:hideMark/>
          </w:tcPr>
          <w:p w14:paraId="69476FEE" w14:textId="77777777" w:rsidR="00641562" w:rsidRPr="005D49D1" w:rsidRDefault="00641562" w:rsidP="00CF4D11">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t>Average Annual Completers</w:t>
            </w:r>
          </w:p>
        </w:tc>
        <w:tc>
          <w:tcPr>
            <w:tcW w:w="1260" w:type="dxa"/>
            <w:tcBorders>
              <w:left w:val="none" w:sz="0" w:space="0" w:color="auto"/>
              <w:bottom w:val="single" w:sz="8" w:space="0" w:color="7BA0CD" w:themeColor="accent1" w:themeTint="BF"/>
              <w:right w:val="none" w:sz="0" w:space="0" w:color="auto"/>
            </w:tcBorders>
            <w:shd w:val="clear" w:color="auto" w:fill="4F81BD" w:themeFill="accent1"/>
            <w:vAlign w:val="center"/>
            <w:hideMark/>
          </w:tcPr>
          <w:p w14:paraId="749DDBDE" w14:textId="54375449" w:rsidR="00641562" w:rsidRPr="005D49D1" w:rsidRDefault="006C38C7" w:rsidP="00CF4D11">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t>CCC</w:t>
            </w:r>
            <w:r w:rsidR="00641562" w:rsidRPr="005D49D1">
              <w:t xml:space="preserve"> Completers</w:t>
            </w:r>
          </w:p>
        </w:tc>
        <w:tc>
          <w:tcPr>
            <w:tcW w:w="900" w:type="dxa"/>
            <w:tcBorders>
              <w:left w:val="none" w:sz="0" w:space="0" w:color="auto"/>
              <w:bottom w:val="single" w:sz="8" w:space="0" w:color="7BA0CD" w:themeColor="accent1" w:themeTint="BF"/>
            </w:tcBorders>
            <w:shd w:val="clear" w:color="auto" w:fill="4F81BD" w:themeFill="accent1"/>
            <w:vAlign w:val="center"/>
            <w:hideMark/>
          </w:tcPr>
          <w:p w14:paraId="6708CEC1" w14:textId="77777777" w:rsidR="00641562" w:rsidRPr="005D49D1" w:rsidRDefault="00641562" w:rsidP="00CF4D11">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t>Total Gap or Surplus</w:t>
            </w:r>
          </w:p>
        </w:tc>
      </w:tr>
      <w:tr w:rsidR="00064FED" w:rsidRPr="005D49D1" w14:paraId="0C849333"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none" w:sz="0" w:space="0" w:color="auto"/>
            </w:tcBorders>
            <w:noWrap/>
            <w:hideMark/>
          </w:tcPr>
          <w:p w14:paraId="471F9458" w14:textId="3DE97392" w:rsidR="00064FED" w:rsidRPr="00D77C12" w:rsidRDefault="00064FED" w:rsidP="00CF4D11">
            <w:pPr>
              <w:pStyle w:val="Tablenormalleft"/>
              <w:keepNext w:val="0"/>
              <w:widowControl w:val="0"/>
              <w:jc w:val="left"/>
              <w:rPr>
                <w:szCs w:val="18"/>
              </w:rPr>
            </w:pPr>
            <w:r w:rsidRPr="00785B62">
              <w:t>???</w:t>
            </w:r>
          </w:p>
        </w:tc>
        <w:tc>
          <w:tcPr>
            <w:tcW w:w="4073" w:type="dxa"/>
            <w:tcBorders>
              <w:left w:val="none" w:sz="0" w:space="0" w:color="auto"/>
              <w:right w:val="none" w:sz="0" w:space="0" w:color="auto"/>
            </w:tcBorders>
            <w:noWrap/>
            <w:hideMark/>
          </w:tcPr>
          <w:p w14:paraId="218ACAF6" w14:textId="63499302"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General Office Occupations and Clerical Services</w:t>
            </w:r>
          </w:p>
        </w:tc>
        <w:tc>
          <w:tcPr>
            <w:tcW w:w="1080" w:type="dxa"/>
            <w:tcBorders>
              <w:left w:val="none" w:sz="0" w:space="0" w:color="auto"/>
              <w:right w:val="none" w:sz="0" w:space="0" w:color="auto"/>
            </w:tcBorders>
            <w:noWrap/>
            <w:hideMark/>
          </w:tcPr>
          <w:p w14:paraId="649914C9" w14:textId="5AE08B69"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762</w:t>
            </w:r>
          </w:p>
        </w:tc>
        <w:tc>
          <w:tcPr>
            <w:tcW w:w="1260" w:type="dxa"/>
            <w:tcBorders>
              <w:left w:val="none" w:sz="0" w:space="0" w:color="auto"/>
              <w:right w:val="none" w:sz="0" w:space="0" w:color="auto"/>
            </w:tcBorders>
            <w:noWrap/>
            <w:hideMark/>
          </w:tcPr>
          <w:p w14:paraId="5FBF3F8E" w14:textId="07D5A246"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92</w:t>
            </w:r>
          </w:p>
        </w:tc>
        <w:tc>
          <w:tcPr>
            <w:tcW w:w="1260" w:type="dxa"/>
            <w:tcBorders>
              <w:left w:val="none" w:sz="0" w:space="0" w:color="auto"/>
              <w:right w:val="none" w:sz="0" w:space="0" w:color="auto"/>
            </w:tcBorders>
            <w:noWrap/>
            <w:hideMark/>
          </w:tcPr>
          <w:p w14:paraId="46F610F0" w14:textId="23FD9655"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5</w:t>
            </w:r>
          </w:p>
        </w:tc>
        <w:tc>
          <w:tcPr>
            <w:tcW w:w="900" w:type="dxa"/>
            <w:tcBorders>
              <w:left w:val="none" w:sz="0" w:space="0" w:color="auto"/>
            </w:tcBorders>
            <w:noWrap/>
            <w:hideMark/>
          </w:tcPr>
          <w:p w14:paraId="68F4A5AB" w14:textId="1E2726DA"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670 </w:t>
            </w:r>
          </w:p>
        </w:tc>
      </w:tr>
      <w:tr w:rsidR="00064FED" w:rsidRPr="005D49D1" w14:paraId="12B3792A"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none" w:sz="0" w:space="0" w:color="auto"/>
            </w:tcBorders>
            <w:noWrap/>
            <w:hideMark/>
          </w:tcPr>
          <w:p w14:paraId="550FCB97" w14:textId="28C76176" w:rsidR="00064FED" w:rsidRPr="00D77C12" w:rsidRDefault="00064FED" w:rsidP="00CF4D11">
            <w:pPr>
              <w:pStyle w:val="Tablenormalleft"/>
              <w:keepNext w:val="0"/>
              <w:widowControl w:val="0"/>
              <w:jc w:val="left"/>
              <w:rPr>
                <w:szCs w:val="18"/>
              </w:rPr>
            </w:pPr>
            <w:r w:rsidRPr="00785B62">
              <w:t>1305.00</w:t>
            </w:r>
          </w:p>
        </w:tc>
        <w:tc>
          <w:tcPr>
            <w:tcW w:w="4073" w:type="dxa"/>
            <w:tcBorders>
              <w:left w:val="none" w:sz="0" w:space="0" w:color="auto"/>
              <w:right w:val="none" w:sz="0" w:space="0" w:color="auto"/>
            </w:tcBorders>
            <w:noWrap/>
            <w:hideMark/>
          </w:tcPr>
          <w:p w14:paraId="5A02454F" w14:textId="12E54A72"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Child Development/Early Care and Education</w:t>
            </w:r>
          </w:p>
        </w:tc>
        <w:tc>
          <w:tcPr>
            <w:tcW w:w="1080" w:type="dxa"/>
            <w:tcBorders>
              <w:left w:val="none" w:sz="0" w:space="0" w:color="auto"/>
              <w:right w:val="none" w:sz="0" w:space="0" w:color="auto"/>
            </w:tcBorders>
            <w:noWrap/>
            <w:hideMark/>
          </w:tcPr>
          <w:p w14:paraId="2429BF4B" w14:textId="38141391"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362</w:t>
            </w:r>
          </w:p>
        </w:tc>
        <w:tc>
          <w:tcPr>
            <w:tcW w:w="1260" w:type="dxa"/>
            <w:tcBorders>
              <w:left w:val="none" w:sz="0" w:space="0" w:color="auto"/>
              <w:right w:val="none" w:sz="0" w:space="0" w:color="auto"/>
            </w:tcBorders>
            <w:noWrap/>
            <w:hideMark/>
          </w:tcPr>
          <w:p w14:paraId="709C60AF" w14:textId="1B8FC0D7"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35</w:t>
            </w:r>
          </w:p>
        </w:tc>
        <w:tc>
          <w:tcPr>
            <w:tcW w:w="1260" w:type="dxa"/>
            <w:tcBorders>
              <w:left w:val="none" w:sz="0" w:space="0" w:color="auto"/>
              <w:right w:val="none" w:sz="0" w:space="0" w:color="auto"/>
            </w:tcBorders>
            <w:noWrap/>
            <w:hideMark/>
          </w:tcPr>
          <w:p w14:paraId="3A35FB82" w14:textId="29A9882A"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30</w:t>
            </w:r>
          </w:p>
        </w:tc>
        <w:tc>
          <w:tcPr>
            <w:tcW w:w="900" w:type="dxa"/>
            <w:tcBorders>
              <w:left w:val="none" w:sz="0" w:space="0" w:color="auto"/>
            </w:tcBorders>
            <w:noWrap/>
            <w:hideMark/>
          </w:tcPr>
          <w:p w14:paraId="43FE6D4A" w14:textId="1EC4D83E"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327 </w:t>
            </w:r>
          </w:p>
        </w:tc>
      </w:tr>
      <w:tr w:rsidR="00064FED" w:rsidRPr="005D49D1" w14:paraId="7B224893"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bottom w:val="single" w:sz="8" w:space="0" w:color="7BA0CD" w:themeColor="accent1" w:themeTint="BF"/>
              <w:right w:val="none" w:sz="0" w:space="0" w:color="auto"/>
            </w:tcBorders>
            <w:noWrap/>
            <w:hideMark/>
          </w:tcPr>
          <w:p w14:paraId="0A3C0C77" w14:textId="59E06E61" w:rsidR="00064FED" w:rsidRPr="00D77C12" w:rsidRDefault="00064FED" w:rsidP="00CF4D11">
            <w:pPr>
              <w:pStyle w:val="Tablenormalleft"/>
              <w:keepNext w:val="0"/>
              <w:widowControl w:val="0"/>
              <w:jc w:val="left"/>
              <w:rPr>
                <w:szCs w:val="18"/>
              </w:rPr>
            </w:pPr>
            <w:r w:rsidRPr="00785B62">
              <w:t>514.20</w:t>
            </w:r>
          </w:p>
        </w:tc>
        <w:tc>
          <w:tcPr>
            <w:tcW w:w="4073" w:type="dxa"/>
            <w:tcBorders>
              <w:left w:val="none" w:sz="0" w:space="0" w:color="auto"/>
              <w:bottom w:val="single" w:sz="8" w:space="0" w:color="7BA0CD" w:themeColor="accent1" w:themeTint="BF"/>
              <w:right w:val="none" w:sz="0" w:space="0" w:color="auto"/>
            </w:tcBorders>
            <w:noWrap/>
            <w:hideMark/>
          </w:tcPr>
          <w:p w14:paraId="3CB6DA4B" w14:textId="58A2B717"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Medical Office Technology</w:t>
            </w:r>
          </w:p>
        </w:tc>
        <w:tc>
          <w:tcPr>
            <w:tcW w:w="1080" w:type="dxa"/>
            <w:tcBorders>
              <w:left w:val="none" w:sz="0" w:space="0" w:color="auto"/>
              <w:bottom w:val="single" w:sz="8" w:space="0" w:color="7BA0CD" w:themeColor="accent1" w:themeTint="BF"/>
              <w:right w:val="none" w:sz="0" w:space="0" w:color="auto"/>
            </w:tcBorders>
            <w:noWrap/>
            <w:hideMark/>
          </w:tcPr>
          <w:p w14:paraId="4DE13767" w14:textId="200D1958"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178</w:t>
            </w:r>
          </w:p>
        </w:tc>
        <w:tc>
          <w:tcPr>
            <w:tcW w:w="1260" w:type="dxa"/>
            <w:tcBorders>
              <w:left w:val="none" w:sz="0" w:space="0" w:color="auto"/>
              <w:bottom w:val="single" w:sz="8" w:space="0" w:color="7BA0CD" w:themeColor="accent1" w:themeTint="BF"/>
              <w:right w:val="none" w:sz="0" w:space="0" w:color="auto"/>
            </w:tcBorders>
            <w:noWrap/>
            <w:hideMark/>
          </w:tcPr>
          <w:p w14:paraId="5417412F" w14:textId="48EC33F7"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25</w:t>
            </w:r>
          </w:p>
        </w:tc>
        <w:tc>
          <w:tcPr>
            <w:tcW w:w="1260" w:type="dxa"/>
            <w:tcBorders>
              <w:left w:val="none" w:sz="0" w:space="0" w:color="auto"/>
              <w:bottom w:val="single" w:sz="8" w:space="0" w:color="7BA0CD" w:themeColor="accent1" w:themeTint="BF"/>
              <w:right w:val="none" w:sz="0" w:space="0" w:color="auto"/>
            </w:tcBorders>
            <w:noWrap/>
            <w:hideMark/>
          </w:tcPr>
          <w:p w14:paraId="1B2C8EF4" w14:textId="11B91745"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9</w:t>
            </w:r>
          </w:p>
        </w:tc>
        <w:tc>
          <w:tcPr>
            <w:tcW w:w="900" w:type="dxa"/>
            <w:tcBorders>
              <w:left w:val="none" w:sz="0" w:space="0" w:color="auto"/>
              <w:bottom w:val="single" w:sz="8" w:space="0" w:color="7BA0CD" w:themeColor="accent1" w:themeTint="BF"/>
            </w:tcBorders>
            <w:noWrap/>
            <w:hideMark/>
          </w:tcPr>
          <w:p w14:paraId="1774E92E" w14:textId="15C92880"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153 </w:t>
            </w:r>
          </w:p>
        </w:tc>
      </w:tr>
      <w:tr w:rsidR="00064FED" w:rsidRPr="005D49D1" w14:paraId="5AFEC774"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63D4FBA5" w14:textId="28D8D425" w:rsidR="00064FED" w:rsidRPr="00D77C12" w:rsidRDefault="00064FED" w:rsidP="00CF4D11">
            <w:pPr>
              <w:pStyle w:val="Tablenormalleft"/>
              <w:keepNext w:val="0"/>
              <w:widowControl w:val="0"/>
              <w:jc w:val="left"/>
              <w:rPr>
                <w:szCs w:val="18"/>
              </w:rPr>
            </w:pPr>
            <w:r w:rsidRPr="00785B62">
              <w:t>102.00</w:t>
            </w:r>
          </w:p>
        </w:tc>
        <w:tc>
          <w:tcPr>
            <w:tcW w:w="4073" w:type="dxa"/>
            <w:tcBorders>
              <w:left w:val="single" w:sz="8" w:space="0" w:color="7BA0CD" w:themeColor="accent1" w:themeTint="BF"/>
              <w:right w:val="single" w:sz="8" w:space="0" w:color="7BA0CD" w:themeColor="accent1" w:themeTint="BF"/>
            </w:tcBorders>
            <w:noWrap/>
          </w:tcPr>
          <w:p w14:paraId="7CC6D43C" w14:textId="7E250539"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Animal Science</w:t>
            </w:r>
          </w:p>
        </w:tc>
        <w:tc>
          <w:tcPr>
            <w:tcW w:w="1080" w:type="dxa"/>
            <w:tcBorders>
              <w:left w:val="single" w:sz="8" w:space="0" w:color="7BA0CD" w:themeColor="accent1" w:themeTint="BF"/>
              <w:right w:val="single" w:sz="8" w:space="0" w:color="7BA0CD" w:themeColor="accent1" w:themeTint="BF"/>
            </w:tcBorders>
            <w:noWrap/>
          </w:tcPr>
          <w:p w14:paraId="72C90631" w14:textId="3D2FE330"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124</w:t>
            </w:r>
          </w:p>
        </w:tc>
        <w:tc>
          <w:tcPr>
            <w:tcW w:w="1260" w:type="dxa"/>
            <w:tcBorders>
              <w:left w:val="single" w:sz="8" w:space="0" w:color="7BA0CD" w:themeColor="accent1" w:themeTint="BF"/>
              <w:right w:val="single" w:sz="8" w:space="0" w:color="7BA0CD" w:themeColor="accent1" w:themeTint="BF"/>
            </w:tcBorders>
            <w:noWrap/>
          </w:tcPr>
          <w:p w14:paraId="24FF8482" w14:textId="2CD5B39B"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w:t>
            </w:r>
          </w:p>
        </w:tc>
        <w:tc>
          <w:tcPr>
            <w:tcW w:w="1260" w:type="dxa"/>
            <w:tcBorders>
              <w:left w:val="single" w:sz="8" w:space="0" w:color="7BA0CD" w:themeColor="accent1" w:themeTint="BF"/>
              <w:right w:val="single" w:sz="8" w:space="0" w:color="7BA0CD" w:themeColor="accent1" w:themeTint="BF"/>
            </w:tcBorders>
            <w:noWrap/>
          </w:tcPr>
          <w:p w14:paraId="798B28B2" w14:textId="54C9387F"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tcPr>
          <w:p w14:paraId="6AA51AB7" w14:textId="1CC957BB"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121 </w:t>
            </w:r>
          </w:p>
        </w:tc>
      </w:tr>
      <w:tr w:rsidR="00064FED" w:rsidRPr="005D49D1" w14:paraId="112E9A70"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0CB519C9" w14:textId="304028B1" w:rsidR="00064FED" w:rsidRPr="00D77C12" w:rsidRDefault="00064FED" w:rsidP="00CF4D11">
            <w:pPr>
              <w:pStyle w:val="Tablenormalleft"/>
              <w:keepNext w:val="0"/>
              <w:widowControl w:val="0"/>
              <w:jc w:val="left"/>
              <w:rPr>
                <w:szCs w:val="18"/>
              </w:rPr>
            </w:pPr>
            <w:r w:rsidRPr="00785B62">
              <w:t>101.00</w:t>
            </w:r>
          </w:p>
        </w:tc>
        <w:tc>
          <w:tcPr>
            <w:tcW w:w="4073" w:type="dxa"/>
            <w:tcBorders>
              <w:left w:val="single" w:sz="8" w:space="0" w:color="7BA0CD" w:themeColor="accent1" w:themeTint="BF"/>
              <w:right w:val="single" w:sz="8" w:space="0" w:color="7BA0CD" w:themeColor="accent1" w:themeTint="BF"/>
            </w:tcBorders>
            <w:noWrap/>
          </w:tcPr>
          <w:p w14:paraId="1AAAF86F" w14:textId="678A8A21"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Agriculture Technology and Sciences, General</w:t>
            </w:r>
          </w:p>
        </w:tc>
        <w:tc>
          <w:tcPr>
            <w:tcW w:w="1080" w:type="dxa"/>
            <w:tcBorders>
              <w:left w:val="single" w:sz="8" w:space="0" w:color="7BA0CD" w:themeColor="accent1" w:themeTint="BF"/>
              <w:right w:val="single" w:sz="8" w:space="0" w:color="7BA0CD" w:themeColor="accent1" w:themeTint="BF"/>
            </w:tcBorders>
            <w:noWrap/>
          </w:tcPr>
          <w:p w14:paraId="2C096795" w14:textId="20F75276"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100</w:t>
            </w:r>
          </w:p>
        </w:tc>
        <w:tc>
          <w:tcPr>
            <w:tcW w:w="1260" w:type="dxa"/>
            <w:tcBorders>
              <w:left w:val="single" w:sz="8" w:space="0" w:color="7BA0CD" w:themeColor="accent1" w:themeTint="BF"/>
              <w:right w:val="single" w:sz="8" w:space="0" w:color="7BA0CD" w:themeColor="accent1" w:themeTint="BF"/>
            </w:tcBorders>
            <w:noWrap/>
          </w:tcPr>
          <w:p w14:paraId="7FD78DE0" w14:textId="237F4E91"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w:t>
            </w:r>
          </w:p>
        </w:tc>
        <w:tc>
          <w:tcPr>
            <w:tcW w:w="1260" w:type="dxa"/>
            <w:tcBorders>
              <w:left w:val="single" w:sz="8" w:space="0" w:color="7BA0CD" w:themeColor="accent1" w:themeTint="BF"/>
              <w:right w:val="single" w:sz="8" w:space="0" w:color="7BA0CD" w:themeColor="accent1" w:themeTint="BF"/>
            </w:tcBorders>
            <w:noWrap/>
          </w:tcPr>
          <w:p w14:paraId="0B6AC6E9" w14:textId="258BE321"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tcPr>
          <w:p w14:paraId="1A5D87C7" w14:textId="2EB3C46B"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99 </w:t>
            </w:r>
          </w:p>
        </w:tc>
      </w:tr>
      <w:tr w:rsidR="00064FED" w:rsidRPr="005D49D1" w14:paraId="7EC9F915"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666B99E1" w14:textId="5CCBEFA3" w:rsidR="00064FED" w:rsidRPr="00D77C12" w:rsidRDefault="00064FED" w:rsidP="00CF4D11">
            <w:pPr>
              <w:pStyle w:val="Tablenormalleft"/>
              <w:keepNext w:val="0"/>
              <w:widowControl w:val="0"/>
              <w:jc w:val="left"/>
              <w:rPr>
                <w:szCs w:val="18"/>
              </w:rPr>
            </w:pPr>
            <w:r w:rsidRPr="00785B62">
              <w:t>948.00</w:t>
            </w:r>
          </w:p>
        </w:tc>
        <w:tc>
          <w:tcPr>
            <w:tcW w:w="4073" w:type="dxa"/>
            <w:tcBorders>
              <w:left w:val="single" w:sz="8" w:space="0" w:color="7BA0CD" w:themeColor="accent1" w:themeTint="BF"/>
              <w:right w:val="single" w:sz="8" w:space="0" w:color="7BA0CD" w:themeColor="accent1" w:themeTint="BF"/>
            </w:tcBorders>
            <w:noWrap/>
          </w:tcPr>
          <w:p w14:paraId="48FB2754" w14:textId="3D5EF521"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Automotive Technology</w:t>
            </w:r>
          </w:p>
        </w:tc>
        <w:tc>
          <w:tcPr>
            <w:tcW w:w="1080" w:type="dxa"/>
            <w:tcBorders>
              <w:left w:val="single" w:sz="8" w:space="0" w:color="7BA0CD" w:themeColor="accent1" w:themeTint="BF"/>
              <w:right w:val="single" w:sz="8" w:space="0" w:color="7BA0CD" w:themeColor="accent1" w:themeTint="BF"/>
            </w:tcBorders>
            <w:noWrap/>
          </w:tcPr>
          <w:p w14:paraId="66208C24" w14:textId="283229D7"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100</w:t>
            </w:r>
          </w:p>
        </w:tc>
        <w:tc>
          <w:tcPr>
            <w:tcW w:w="1260" w:type="dxa"/>
            <w:tcBorders>
              <w:left w:val="single" w:sz="8" w:space="0" w:color="7BA0CD" w:themeColor="accent1" w:themeTint="BF"/>
              <w:right w:val="single" w:sz="8" w:space="0" w:color="7BA0CD" w:themeColor="accent1" w:themeTint="BF"/>
            </w:tcBorders>
            <w:noWrap/>
          </w:tcPr>
          <w:p w14:paraId="09AD3DFD" w14:textId="553FA751"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w:t>
            </w:r>
          </w:p>
        </w:tc>
        <w:tc>
          <w:tcPr>
            <w:tcW w:w="1260" w:type="dxa"/>
            <w:tcBorders>
              <w:left w:val="single" w:sz="8" w:space="0" w:color="7BA0CD" w:themeColor="accent1" w:themeTint="BF"/>
              <w:right w:val="single" w:sz="8" w:space="0" w:color="7BA0CD" w:themeColor="accent1" w:themeTint="BF"/>
            </w:tcBorders>
            <w:noWrap/>
          </w:tcPr>
          <w:p w14:paraId="562FBE84" w14:textId="2EBECD39"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w:t>
            </w:r>
          </w:p>
        </w:tc>
        <w:tc>
          <w:tcPr>
            <w:tcW w:w="900" w:type="dxa"/>
            <w:tcBorders>
              <w:left w:val="single" w:sz="8" w:space="0" w:color="7BA0CD" w:themeColor="accent1" w:themeTint="BF"/>
            </w:tcBorders>
            <w:noWrap/>
          </w:tcPr>
          <w:p w14:paraId="00ACC338" w14:textId="1F2CC078"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97 </w:t>
            </w:r>
          </w:p>
        </w:tc>
      </w:tr>
      <w:tr w:rsidR="00064FED" w:rsidRPr="005D49D1" w14:paraId="3C2C89E4"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45D9E54B" w14:textId="4AD1EC04" w:rsidR="00064FED" w:rsidRPr="00D77C12" w:rsidRDefault="00064FED" w:rsidP="00CF4D11">
            <w:pPr>
              <w:pStyle w:val="Tablenormalleft"/>
              <w:keepNext w:val="0"/>
              <w:widowControl w:val="0"/>
              <w:jc w:val="left"/>
              <w:rPr>
                <w:szCs w:val="18"/>
              </w:rPr>
            </w:pPr>
            <w:r w:rsidRPr="00785B62">
              <w:t>103.00</w:t>
            </w:r>
          </w:p>
        </w:tc>
        <w:tc>
          <w:tcPr>
            <w:tcW w:w="4073" w:type="dxa"/>
            <w:tcBorders>
              <w:left w:val="single" w:sz="8" w:space="0" w:color="7BA0CD" w:themeColor="accent1" w:themeTint="BF"/>
              <w:right w:val="single" w:sz="8" w:space="0" w:color="7BA0CD" w:themeColor="accent1" w:themeTint="BF"/>
            </w:tcBorders>
            <w:noWrap/>
          </w:tcPr>
          <w:p w14:paraId="533E5AE4" w14:textId="3CBC1AAD"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Plant Science</w:t>
            </w:r>
          </w:p>
        </w:tc>
        <w:tc>
          <w:tcPr>
            <w:tcW w:w="1080" w:type="dxa"/>
            <w:tcBorders>
              <w:left w:val="single" w:sz="8" w:space="0" w:color="7BA0CD" w:themeColor="accent1" w:themeTint="BF"/>
              <w:right w:val="single" w:sz="8" w:space="0" w:color="7BA0CD" w:themeColor="accent1" w:themeTint="BF"/>
            </w:tcBorders>
            <w:noWrap/>
          </w:tcPr>
          <w:p w14:paraId="1A31C535" w14:textId="2E5B4B6C"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92</w:t>
            </w:r>
          </w:p>
        </w:tc>
        <w:tc>
          <w:tcPr>
            <w:tcW w:w="1260" w:type="dxa"/>
            <w:tcBorders>
              <w:left w:val="single" w:sz="8" w:space="0" w:color="7BA0CD" w:themeColor="accent1" w:themeTint="BF"/>
              <w:right w:val="single" w:sz="8" w:space="0" w:color="7BA0CD" w:themeColor="accent1" w:themeTint="BF"/>
            </w:tcBorders>
            <w:noWrap/>
          </w:tcPr>
          <w:p w14:paraId="026736B5" w14:textId="02137434"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2</w:t>
            </w:r>
          </w:p>
        </w:tc>
        <w:tc>
          <w:tcPr>
            <w:tcW w:w="1260" w:type="dxa"/>
            <w:tcBorders>
              <w:left w:val="single" w:sz="8" w:space="0" w:color="7BA0CD" w:themeColor="accent1" w:themeTint="BF"/>
              <w:right w:val="single" w:sz="8" w:space="0" w:color="7BA0CD" w:themeColor="accent1" w:themeTint="BF"/>
            </w:tcBorders>
            <w:noWrap/>
          </w:tcPr>
          <w:p w14:paraId="4CAA76EC" w14:textId="05B20742"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0</w:t>
            </w:r>
          </w:p>
        </w:tc>
        <w:tc>
          <w:tcPr>
            <w:tcW w:w="900" w:type="dxa"/>
            <w:tcBorders>
              <w:left w:val="single" w:sz="8" w:space="0" w:color="7BA0CD" w:themeColor="accent1" w:themeTint="BF"/>
            </w:tcBorders>
            <w:noWrap/>
          </w:tcPr>
          <w:p w14:paraId="42A12C47" w14:textId="6E422737"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90 </w:t>
            </w:r>
          </w:p>
        </w:tc>
      </w:tr>
      <w:tr w:rsidR="00064FED" w:rsidRPr="005D49D1" w14:paraId="08734C20"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01F54CF2" w14:textId="17E98236" w:rsidR="00064FED" w:rsidRPr="00D77C12" w:rsidRDefault="00064FED" w:rsidP="00CF4D11">
            <w:pPr>
              <w:pStyle w:val="Tablenormalleft"/>
              <w:keepNext w:val="0"/>
              <w:widowControl w:val="0"/>
              <w:jc w:val="left"/>
              <w:rPr>
                <w:szCs w:val="18"/>
              </w:rPr>
            </w:pPr>
            <w:r w:rsidRPr="00785B62">
              <w:t>1305.00</w:t>
            </w:r>
          </w:p>
        </w:tc>
        <w:tc>
          <w:tcPr>
            <w:tcW w:w="4073" w:type="dxa"/>
            <w:tcBorders>
              <w:left w:val="single" w:sz="8" w:space="0" w:color="7BA0CD" w:themeColor="accent1" w:themeTint="BF"/>
              <w:right w:val="single" w:sz="8" w:space="0" w:color="7BA0CD" w:themeColor="accent1" w:themeTint="BF"/>
            </w:tcBorders>
            <w:noWrap/>
          </w:tcPr>
          <w:p w14:paraId="3A95A260" w14:textId="30CC3E7F"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Child Development/Early Care and Education</w:t>
            </w:r>
          </w:p>
        </w:tc>
        <w:tc>
          <w:tcPr>
            <w:tcW w:w="1080" w:type="dxa"/>
            <w:tcBorders>
              <w:left w:val="single" w:sz="8" w:space="0" w:color="7BA0CD" w:themeColor="accent1" w:themeTint="BF"/>
              <w:right w:val="single" w:sz="8" w:space="0" w:color="7BA0CD" w:themeColor="accent1" w:themeTint="BF"/>
            </w:tcBorders>
            <w:noWrap/>
          </w:tcPr>
          <w:p w14:paraId="19831B24" w14:textId="0AD19035"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83</w:t>
            </w:r>
          </w:p>
        </w:tc>
        <w:tc>
          <w:tcPr>
            <w:tcW w:w="1260" w:type="dxa"/>
            <w:tcBorders>
              <w:left w:val="single" w:sz="8" w:space="0" w:color="7BA0CD" w:themeColor="accent1" w:themeTint="BF"/>
              <w:right w:val="single" w:sz="8" w:space="0" w:color="7BA0CD" w:themeColor="accent1" w:themeTint="BF"/>
            </w:tcBorders>
            <w:noWrap/>
          </w:tcPr>
          <w:p w14:paraId="55B4EB86" w14:textId="26E90678"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w:t>
            </w:r>
          </w:p>
        </w:tc>
        <w:tc>
          <w:tcPr>
            <w:tcW w:w="1260" w:type="dxa"/>
            <w:tcBorders>
              <w:left w:val="single" w:sz="8" w:space="0" w:color="7BA0CD" w:themeColor="accent1" w:themeTint="BF"/>
              <w:right w:val="single" w:sz="8" w:space="0" w:color="7BA0CD" w:themeColor="accent1" w:themeTint="BF"/>
            </w:tcBorders>
            <w:noWrap/>
          </w:tcPr>
          <w:p w14:paraId="18BC5D68" w14:textId="1963CA39"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tcPr>
          <w:p w14:paraId="0D581D93" w14:textId="6C74E5FB"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80 </w:t>
            </w:r>
          </w:p>
        </w:tc>
      </w:tr>
      <w:tr w:rsidR="00064FED" w:rsidRPr="005D49D1" w14:paraId="74C29ED4"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4D793F65" w14:textId="501E3847" w:rsidR="00064FED" w:rsidRPr="00D77C12" w:rsidRDefault="00064FED" w:rsidP="00CF4D11">
            <w:pPr>
              <w:pStyle w:val="Tablenormalleft"/>
              <w:keepNext w:val="0"/>
              <w:widowControl w:val="0"/>
              <w:jc w:val="left"/>
              <w:rPr>
                <w:szCs w:val="18"/>
              </w:rPr>
            </w:pPr>
            <w:r w:rsidRPr="00785B62">
              <w:t>706.00</w:t>
            </w:r>
          </w:p>
        </w:tc>
        <w:tc>
          <w:tcPr>
            <w:tcW w:w="4073" w:type="dxa"/>
            <w:tcBorders>
              <w:left w:val="single" w:sz="8" w:space="0" w:color="7BA0CD" w:themeColor="accent1" w:themeTint="BF"/>
              <w:right w:val="single" w:sz="8" w:space="0" w:color="7BA0CD" w:themeColor="accent1" w:themeTint="BF"/>
            </w:tcBorders>
            <w:noWrap/>
          </w:tcPr>
          <w:p w14:paraId="3F81D1E5" w14:textId="72162DF0"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Computer Science (transfer)</w:t>
            </w:r>
          </w:p>
        </w:tc>
        <w:tc>
          <w:tcPr>
            <w:tcW w:w="1080" w:type="dxa"/>
            <w:tcBorders>
              <w:left w:val="single" w:sz="8" w:space="0" w:color="7BA0CD" w:themeColor="accent1" w:themeTint="BF"/>
              <w:right w:val="single" w:sz="8" w:space="0" w:color="7BA0CD" w:themeColor="accent1" w:themeTint="BF"/>
            </w:tcBorders>
            <w:noWrap/>
          </w:tcPr>
          <w:p w14:paraId="725E0D9D" w14:textId="44F88C19"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59</w:t>
            </w:r>
          </w:p>
        </w:tc>
        <w:tc>
          <w:tcPr>
            <w:tcW w:w="1260" w:type="dxa"/>
            <w:tcBorders>
              <w:left w:val="single" w:sz="8" w:space="0" w:color="7BA0CD" w:themeColor="accent1" w:themeTint="BF"/>
              <w:right w:val="single" w:sz="8" w:space="0" w:color="7BA0CD" w:themeColor="accent1" w:themeTint="BF"/>
            </w:tcBorders>
            <w:noWrap/>
          </w:tcPr>
          <w:p w14:paraId="1D3D2E8F" w14:textId="7F8BC773"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3</w:t>
            </w:r>
          </w:p>
        </w:tc>
        <w:tc>
          <w:tcPr>
            <w:tcW w:w="1260" w:type="dxa"/>
            <w:tcBorders>
              <w:left w:val="single" w:sz="8" w:space="0" w:color="7BA0CD" w:themeColor="accent1" w:themeTint="BF"/>
              <w:right w:val="single" w:sz="8" w:space="0" w:color="7BA0CD" w:themeColor="accent1" w:themeTint="BF"/>
            </w:tcBorders>
            <w:noWrap/>
          </w:tcPr>
          <w:p w14:paraId="4F2FD46D" w14:textId="3F8654C8"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2</w:t>
            </w:r>
          </w:p>
        </w:tc>
        <w:tc>
          <w:tcPr>
            <w:tcW w:w="900" w:type="dxa"/>
            <w:tcBorders>
              <w:left w:val="single" w:sz="8" w:space="0" w:color="7BA0CD" w:themeColor="accent1" w:themeTint="BF"/>
            </w:tcBorders>
            <w:noWrap/>
          </w:tcPr>
          <w:p w14:paraId="78F54770" w14:textId="0C8A00FF"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56 </w:t>
            </w:r>
          </w:p>
        </w:tc>
      </w:tr>
      <w:tr w:rsidR="00064FED" w:rsidRPr="005D49D1" w14:paraId="1B2A2742"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13787EC0" w14:textId="436FE5AF" w:rsidR="00064FED" w:rsidRPr="00D77C12" w:rsidRDefault="00064FED" w:rsidP="00CF4D11">
            <w:pPr>
              <w:pStyle w:val="Tablenormalleft"/>
              <w:keepNext w:val="0"/>
              <w:widowControl w:val="0"/>
              <w:jc w:val="left"/>
              <w:rPr>
                <w:szCs w:val="18"/>
              </w:rPr>
            </w:pPr>
            <w:r w:rsidRPr="00785B62">
              <w:t>112.00</w:t>
            </w:r>
          </w:p>
        </w:tc>
        <w:tc>
          <w:tcPr>
            <w:tcW w:w="4073" w:type="dxa"/>
            <w:tcBorders>
              <w:left w:val="single" w:sz="8" w:space="0" w:color="7BA0CD" w:themeColor="accent1" w:themeTint="BF"/>
              <w:right w:val="single" w:sz="8" w:space="0" w:color="7BA0CD" w:themeColor="accent1" w:themeTint="BF"/>
            </w:tcBorders>
            <w:noWrap/>
          </w:tcPr>
          <w:p w14:paraId="10A33C62" w14:textId="2FE9BE39"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Agriculture Business, Sales and Service</w:t>
            </w:r>
          </w:p>
        </w:tc>
        <w:tc>
          <w:tcPr>
            <w:tcW w:w="1080" w:type="dxa"/>
            <w:tcBorders>
              <w:left w:val="single" w:sz="8" w:space="0" w:color="7BA0CD" w:themeColor="accent1" w:themeTint="BF"/>
              <w:right w:val="single" w:sz="8" w:space="0" w:color="7BA0CD" w:themeColor="accent1" w:themeTint="BF"/>
            </w:tcBorders>
            <w:noWrap/>
          </w:tcPr>
          <w:p w14:paraId="61502AA8" w14:textId="0EEA8149"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67</w:t>
            </w:r>
          </w:p>
        </w:tc>
        <w:tc>
          <w:tcPr>
            <w:tcW w:w="1260" w:type="dxa"/>
            <w:tcBorders>
              <w:left w:val="single" w:sz="8" w:space="0" w:color="7BA0CD" w:themeColor="accent1" w:themeTint="BF"/>
              <w:right w:val="single" w:sz="8" w:space="0" w:color="7BA0CD" w:themeColor="accent1" w:themeTint="BF"/>
            </w:tcBorders>
            <w:noWrap/>
          </w:tcPr>
          <w:p w14:paraId="5B814B91" w14:textId="0E9642F0"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13</w:t>
            </w:r>
          </w:p>
        </w:tc>
        <w:tc>
          <w:tcPr>
            <w:tcW w:w="1260" w:type="dxa"/>
            <w:tcBorders>
              <w:left w:val="single" w:sz="8" w:space="0" w:color="7BA0CD" w:themeColor="accent1" w:themeTint="BF"/>
              <w:right w:val="single" w:sz="8" w:space="0" w:color="7BA0CD" w:themeColor="accent1" w:themeTint="BF"/>
            </w:tcBorders>
            <w:noWrap/>
          </w:tcPr>
          <w:p w14:paraId="0A3CE008" w14:textId="5570832E"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10</w:t>
            </w:r>
          </w:p>
        </w:tc>
        <w:tc>
          <w:tcPr>
            <w:tcW w:w="900" w:type="dxa"/>
            <w:tcBorders>
              <w:left w:val="single" w:sz="8" w:space="0" w:color="7BA0CD" w:themeColor="accent1" w:themeTint="BF"/>
            </w:tcBorders>
            <w:noWrap/>
          </w:tcPr>
          <w:p w14:paraId="5C6B4B07" w14:textId="43282D0A"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54 </w:t>
            </w:r>
          </w:p>
        </w:tc>
      </w:tr>
      <w:tr w:rsidR="00064FED" w:rsidRPr="005D49D1" w14:paraId="38DFC1CB"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407E9B74" w14:textId="0901AA1B" w:rsidR="00064FED" w:rsidRPr="00D77C12" w:rsidRDefault="00064FED" w:rsidP="00CF4D11">
            <w:pPr>
              <w:pStyle w:val="Tablenormalleft"/>
              <w:keepNext w:val="0"/>
              <w:widowControl w:val="0"/>
              <w:jc w:val="left"/>
              <w:rPr>
                <w:szCs w:val="18"/>
              </w:rPr>
            </w:pPr>
            <w:r w:rsidRPr="00785B62">
              <w:t>502.00</w:t>
            </w:r>
          </w:p>
        </w:tc>
        <w:tc>
          <w:tcPr>
            <w:tcW w:w="4073" w:type="dxa"/>
            <w:tcBorders>
              <w:left w:val="single" w:sz="8" w:space="0" w:color="7BA0CD" w:themeColor="accent1" w:themeTint="BF"/>
              <w:right w:val="single" w:sz="8" w:space="0" w:color="7BA0CD" w:themeColor="accent1" w:themeTint="BF"/>
            </w:tcBorders>
            <w:noWrap/>
          </w:tcPr>
          <w:p w14:paraId="541E8EA6" w14:textId="0E046E75"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Accounting</w:t>
            </w:r>
          </w:p>
        </w:tc>
        <w:tc>
          <w:tcPr>
            <w:tcW w:w="1080" w:type="dxa"/>
            <w:tcBorders>
              <w:left w:val="single" w:sz="8" w:space="0" w:color="7BA0CD" w:themeColor="accent1" w:themeTint="BF"/>
              <w:right w:val="single" w:sz="8" w:space="0" w:color="7BA0CD" w:themeColor="accent1" w:themeTint="BF"/>
            </w:tcBorders>
            <w:noWrap/>
          </w:tcPr>
          <w:p w14:paraId="33536A85" w14:textId="48B1D219"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62</w:t>
            </w:r>
          </w:p>
        </w:tc>
        <w:tc>
          <w:tcPr>
            <w:tcW w:w="1260" w:type="dxa"/>
            <w:tcBorders>
              <w:left w:val="single" w:sz="8" w:space="0" w:color="7BA0CD" w:themeColor="accent1" w:themeTint="BF"/>
              <w:right w:val="single" w:sz="8" w:space="0" w:color="7BA0CD" w:themeColor="accent1" w:themeTint="BF"/>
            </w:tcBorders>
            <w:noWrap/>
          </w:tcPr>
          <w:p w14:paraId="222A3F98" w14:textId="731B6AA0"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12</w:t>
            </w:r>
          </w:p>
        </w:tc>
        <w:tc>
          <w:tcPr>
            <w:tcW w:w="1260" w:type="dxa"/>
            <w:tcBorders>
              <w:left w:val="single" w:sz="8" w:space="0" w:color="7BA0CD" w:themeColor="accent1" w:themeTint="BF"/>
              <w:right w:val="single" w:sz="8" w:space="0" w:color="7BA0CD" w:themeColor="accent1" w:themeTint="BF"/>
            </w:tcBorders>
            <w:noWrap/>
          </w:tcPr>
          <w:p w14:paraId="49D66470" w14:textId="25199A8B"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9</w:t>
            </w:r>
          </w:p>
        </w:tc>
        <w:tc>
          <w:tcPr>
            <w:tcW w:w="900" w:type="dxa"/>
            <w:tcBorders>
              <w:left w:val="single" w:sz="8" w:space="0" w:color="7BA0CD" w:themeColor="accent1" w:themeTint="BF"/>
            </w:tcBorders>
            <w:noWrap/>
          </w:tcPr>
          <w:p w14:paraId="40D7FBB2" w14:textId="63C7D6FB"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50 </w:t>
            </w:r>
          </w:p>
        </w:tc>
      </w:tr>
      <w:tr w:rsidR="00064FED" w:rsidRPr="005D49D1" w14:paraId="3FF1BDCC"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62147AA0" w14:textId="09028A0A" w:rsidR="00064FED" w:rsidRPr="00D77C12" w:rsidRDefault="00064FED" w:rsidP="00CF4D11">
            <w:pPr>
              <w:pStyle w:val="Tablenormalleft"/>
              <w:keepNext w:val="0"/>
              <w:widowControl w:val="0"/>
              <w:jc w:val="left"/>
              <w:rPr>
                <w:szCs w:val="18"/>
              </w:rPr>
            </w:pPr>
            <w:r w:rsidRPr="00785B62">
              <w:t>708.00</w:t>
            </w:r>
          </w:p>
        </w:tc>
        <w:tc>
          <w:tcPr>
            <w:tcW w:w="4073" w:type="dxa"/>
            <w:tcBorders>
              <w:left w:val="single" w:sz="8" w:space="0" w:color="7BA0CD" w:themeColor="accent1" w:themeTint="BF"/>
              <w:right w:val="single" w:sz="8" w:space="0" w:color="7BA0CD" w:themeColor="accent1" w:themeTint="BF"/>
            </w:tcBorders>
            <w:noWrap/>
          </w:tcPr>
          <w:p w14:paraId="46B13EB1" w14:textId="74415E1E"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Computer Infrastructure and Support</w:t>
            </w:r>
          </w:p>
        </w:tc>
        <w:tc>
          <w:tcPr>
            <w:tcW w:w="1080" w:type="dxa"/>
            <w:tcBorders>
              <w:left w:val="single" w:sz="8" w:space="0" w:color="7BA0CD" w:themeColor="accent1" w:themeTint="BF"/>
              <w:right w:val="single" w:sz="8" w:space="0" w:color="7BA0CD" w:themeColor="accent1" w:themeTint="BF"/>
            </w:tcBorders>
            <w:noWrap/>
          </w:tcPr>
          <w:p w14:paraId="18BEDBBA" w14:textId="318F0FC4"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38</w:t>
            </w:r>
          </w:p>
        </w:tc>
        <w:tc>
          <w:tcPr>
            <w:tcW w:w="1260" w:type="dxa"/>
            <w:tcBorders>
              <w:left w:val="single" w:sz="8" w:space="0" w:color="7BA0CD" w:themeColor="accent1" w:themeTint="BF"/>
              <w:right w:val="single" w:sz="8" w:space="0" w:color="7BA0CD" w:themeColor="accent1" w:themeTint="BF"/>
            </w:tcBorders>
            <w:noWrap/>
          </w:tcPr>
          <w:p w14:paraId="6D0036B9" w14:textId="767D50F3"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1260" w:type="dxa"/>
            <w:tcBorders>
              <w:left w:val="single" w:sz="8" w:space="0" w:color="7BA0CD" w:themeColor="accent1" w:themeTint="BF"/>
              <w:right w:val="single" w:sz="8" w:space="0" w:color="7BA0CD" w:themeColor="accent1" w:themeTint="BF"/>
            </w:tcBorders>
            <w:noWrap/>
          </w:tcPr>
          <w:p w14:paraId="3C405456" w14:textId="0CB8C414"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tcPr>
          <w:p w14:paraId="0AF04E1F" w14:textId="645CCC39"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37 </w:t>
            </w:r>
          </w:p>
        </w:tc>
      </w:tr>
      <w:tr w:rsidR="00064FED" w:rsidRPr="005D49D1" w14:paraId="4DA14F0E"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1F7DC639" w14:textId="236ADEB2" w:rsidR="00064FED" w:rsidRPr="00D77C12" w:rsidRDefault="00064FED" w:rsidP="00CF4D11">
            <w:pPr>
              <w:pStyle w:val="Tablenormalleft"/>
              <w:keepNext w:val="0"/>
              <w:widowControl w:val="0"/>
              <w:jc w:val="left"/>
              <w:rPr>
                <w:szCs w:val="18"/>
              </w:rPr>
            </w:pPr>
            <w:r w:rsidRPr="00785B62">
              <w:t>835.00</w:t>
            </w:r>
          </w:p>
        </w:tc>
        <w:tc>
          <w:tcPr>
            <w:tcW w:w="4073" w:type="dxa"/>
            <w:tcBorders>
              <w:left w:val="single" w:sz="8" w:space="0" w:color="7BA0CD" w:themeColor="accent1" w:themeTint="BF"/>
              <w:right w:val="single" w:sz="8" w:space="0" w:color="7BA0CD" w:themeColor="accent1" w:themeTint="BF"/>
            </w:tcBorders>
            <w:noWrap/>
          </w:tcPr>
          <w:p w14:paraId="372A4D4D" w14:textId="2A45A408"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Physical Education</w:t>
            </w:r>
          </w:p>
        </w:tc>
        <w:tc>
          <w:tcPr>
            <w:tcW w:w="1080" w:type="dxa"/>
            <w:tcBorders>
              <w:left w:val="single" w:sz="8" w:space="0" w:color="7BA0CD" w:themeColor="accent1" w:themeTint="BF"/>
              <w:right w:val="single" w:sz="8" w:space="0" w:color="7BA0CD" w:themeColor="accent1" w:themeTint="BF"/>
            </w:tcBorders>
            <w:noWrap/>
          </w:tcPr>
          <w:p w14:paraId="6CE45F95" w14:textId="7AB6BD9A"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32</w:t>
            </w:r>
          </w:p>
        </w:tc>
        <w:tc>
          <w:tcPr>
            <w:tcW w:w="1260" w:type="dxa"/>
            <w:tcBorders>
              <w:left w:val="single" w:sz="8" w:space="0" w:color="7BA0CD" w:themeColor="accent1" w:themeTint="BF"/>
              <w:right w:val="single" w:sz="8" w:space="0" w:color="7BA0CD" w:themeColor="accent1" w:themeTint="BF"/>
            </w:tcBorders>
            <w:noWrap/>
          </w:tcPr>
          <w:p w14:paraId="1033C474" w14:textId="14C233AA"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7</w:t>
            </w:r>
          </w:p>
        </w:tc>
        <w:tc>
          <w:tcPr>
            <w:tcW w:w="1260" w:type="dxa"/>
            <w:tcBorders>
              <w:left w:val="single" w:sz="8" w:space="0" w:color="7BA0CD" w:themeColor="accent1" w:themeTint="BF"/>
              <w:right w:val="single" w:sz="8" w:space="0" w:color="7BA0CD" w:themeColor="accent1" w:themeTint="BF"/>
            </w:tcBorders>
            <w:noWrap/>
          </w:tcPr>
          <w:p w14:paraId="2D044A38" w14:textId="5ED9AFE7"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7</w:t>
            </w:r>
          </w:p>
        </w:tc>
        <w:tc>
          <w:tcPr>
            <w:tcW w:w="900" w:type="dxa"/>
            <w:tcBorders>
              <w:left w:val="single" w:sz="8" w:space="0" w:color="7BA0CD" w:themeColor="accent1" w:themeTint="BF"/>
            </w:tcBorders>
            <w:noWrap/>
          </w:tcPr>
          <w:p w14:paraId="18A0030A" w14:textId="49C4A867"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25 </w:t>
            </w:r>
          </w:p>
        </w:tc>
      </w:tr>
      <w:tr w:rsidR="00064FED" w:rsidRPr="005D49D1" w14:paraId="26BDFECF"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6421AFAB" w14:textId="1C411007" w:rsidR="00064FED" w:rsidRPr="00D77C12" w:rsidRDefault="00064FED" w:rsidP="00CF4D11">
            <w:pPr>
              <w:pStyle w:val="Tablenormalleft"/>
              <w:keepNext w:val="0"/>
              <w:widowControl w:val="0"/>
              <w:jc w:val="left"/>
              <w:rPr>
                <w:szCs w:val="18"/>
              </w:rPr>
            </w:pPr>
            <w:r w:rsidRPr="00785B62">
              <w:t>506.40</w:t>
            </w:r>
          </w:p>
        </w:tc>
        <w:tc>
          <w:tcPr>
            <w:tcW w:w="4073" w:type="dxa"/>
            <w:tcBorders>
              <w:left w:val="single" w:sz="8" w:space="0" w:color="7BA0CD" w:themeColor="accent1" w:themeTint="BF"/>
              <w:right w:val="single" w:sz="8" w:space="0" w:color="7BA0CD" w:themeColor="accent1" w:themeTint="BF"/>
            </w:tcBorders>
            <w:noWrap/>
          </w:tcPr>
          <w:p w14:paraId="7B5D2A1B" w14:textId="246E7F17"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Small Business and Entrepreneurship</w:t>
            </w:r>
          </w:p>
        </w:tc>
        <w:tc>
          <w:tcPr>
            <w:tcW w:w="1080" w:type="dxa"/>
            <w:tcBorders>
              <w:left w:val="single" w:sz="8" w:space="0" w:color="7BA0CD" w:themeColor="accent1" w:themeTint="BF"/>
              <w:right w:val="single" w:sz="8" w:space="0" w:color="7BA0CD" w:themeColor="accent1" w:themeTint="BF"/>
            </w:tcBorders>
            <w:noWrap/>
          </w:tcPr>
          <w:p w14:paraId="40254432" w14:textId="476E49A2"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15</w:t>
            </w:r>
          </w:p>
        </w:tc>
        <w:tc>
          <w:tcPr>
            <w:tcW w:w="1260" w:type="dxa"/>
            <w:tcBorders>
              <w:left w:val="single" w:sz="8" w:space="0" w:color="7BA0CD" w:themeColor="accent1" w:themeTint="BF"/>
              <w:right w:val="single" w:sz="8" w:space="0" w:color="7BA0CD" w:themeColor="accent1" w:themeTint="BF"/>
            </w:tcBorders>
            <w:noWrap/>
          </w:tcPr>
          <w:p w14:paraId="70B60BB3" w14:textId="741C7ABE"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2</w:t>
            </w:r>
          </w:p>
        </w:tc>
        <w:tc>
          <w:tcPr>
            <w:tcW w:w="1260" w:type="dxa"/>
            <w:tcBorders>
              <w:left w:val="single" w:sz="8" w:space="0" w:color="7BA0CD" w:themeColor="accent1" w:themeTint="BF"/>
              <w:right w:val="single" w:sz="8" w:space="0" w:color="7BA0CD" w:themeColor="accent1" w:themeTint="BF"/>
            </w:tcBorders>
            <w:noWrap/>
          </w:tcPr>
          <w:p w14:paraId="12EBD48E" w14:textId="5887366F"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2</w:t>
            </w:r>
          </w:p>
        </w:tc>
        <w:tc>
          <w:tcPr>
            <w:tcW w:w="900" w:type="dxa"/>
            <w:tcBorders>
              <w:left w:val="single" w:sz="8" w:space="0" w:color="7BA0CD" w:themeColor="accent1" w:themeTint="BF"/>
            </w:tcBorders>
            <w:noWrap/>
          </w:tcPr>
          <w:p w14:paraId="7C460F18" w14:textId="78577F77"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13 </w:t>
            </w:r>
          </w:p>
        </w:tc>
      </w:tr>
      <w:tr w:rsidR="00064FED" w:rsidRPr="005D49D1" w14:paraId="6A82F55F"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1797D459" w14:textId="5CE388D6" w:rsidR="00064FED" w:rsidRPr="00D77C12" w:rsidRDefault="00064FED" w:rsidP="00CF4D11">
            <w:pPr>
              <w:pStyle w:val="Tablenormalleft"/>
              <w:keepNext w:val="0"/>
              <w:widowControl w:val="0"/>
              <w:jc w:val="left"/>
              <w:rPr>
                <w:szCs w:val="18"/>
              </w:rPr>
            </w:pPr>
            <w:r w:rsidRPr="00785B62">
              <w:t>1199.00</w:t>
            </w:r>
          </w:p>
        </w:tc>
        <w:tc>
          <w:tcPr>
            <w:tcW w:w="4073" w:type="dxa"/>
            <w:tcBorders>
              <w:left w:val="single" w:sz="8" w:space="0" w:color="7BA0CD" w:themeColor="accent1" w:themeTint="BF"/>
              <w:right w:val="single" w:sz="8" w:space="0" w:color="7BA0CD" w:themeColor="accent1" w:themeTint="BF"/>
            </w:tcBorders>
            <w:noWrap/>
          </w:tcPr>
          <w:p w14:paraId="36BA1FA4" w14:textId="0710F08E"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Other Foreign Languages</w:t>
            </w:r>
          </w:p>
        </w:tc>
        <w:tc>
          <w:tcPr>
            <w:tcW w:w="1080" w:type="dxa"/>
            <w:tcBorders>
              <w:left w:val="single" w:sz="8" w:space="0" w:color="7BA0CD" w:themeColor="accent1" w:themeTint="BF"/>
              <w:right w:val="single" w:sz="8" w:space="0" w:color="7BA0CD" w:themeColor="accent1" w:themeTint="BF"/>
            </w:tcBorders>
            <w:noWrap/>
          </w:tcPr>
          <w:p w14:paraId="1D5CB118" w14:textId="1FBE2FA2"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8</w:t>
            </w:r>
          </w:p>
        </w:tc>
        <w:tc>
          <w:tcPr>
            <w:tcW w:w="1260" w:type="dxa"/>
            <w:tcBorders>
              <w:left w:val="single" w:sz="8" w:space="0" w:color="7BA0CD" w:themeColor="accent1" w:themeTint="BF"/>
              <w:right w:val="single" w:sz="8" w:space="0" w:color="7BA0CD" w:themeColor="accent1" w:themeTint="BF"/>
            </w:tcBorders>
            <w:noWrap/>
          </w:tcPr>
          <w:p w14:paraId="0802A962" w14:textId="5C5C2DA8"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w:t>
            </w:r>
          </w:p>
        </w:tc>
        <w:tc>
          <w:tcPr>
            <w:tcW w:w="1260" w:type="dxa"/>
            <w:tcBorders>
              <w:left w:val="single" w:sz="8" w:space="0" w:color="7BA0CD" w:themeColor="accent1" w:themeTint="BF"/>
              <w:right w:val="single" w:sz="8" w:space="0" w:color="7BA0CD" w:themeColor="accent1" w:themeTint="BF"/>
            </w:tcBorders>
            <w:noWrap/>
          </w:tcPr>
          <w:p w14:paraId="6928C8E6" w14:textId="45E46CDC"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0</w:t>
            </w:r>
          </w:p>
        </w:tc>
        <w:tc>
          <w:tcPr>
            <w:tcW w:w="900" w:type="dxa"/>
            <w:tcBorders>
              <w:left w:val="single" w:sz="8" w:space="0" w:color="7BA0CD" w:themeColor="accent1" w:themeTint="BF"/>
            </w:tcBorders>
            <w:noWrap/>
          </w:tcPr>
          <w:p w14:paraId="5CB01783" w14:textId="5E9972A4"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8 </w:t>
            </w:r>
          </w:p>
        </w:tc>
      </w:tr>
      <w:tr w:rsidR="00064FED" w:rsidRPr="005D49D1" w14:paraId="15917B6C"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3933CB7A" w14:textId="26BB30B0" w:rsidR="00064FED" w:rsidRPr="00D77C12" w:rsidRDefault="00064FED" w:rsidP="00CF4D11">
            <w:pPr>
              <w:pStyle w:val="Tablenormalleft"/>
              <w:keepNext w:val="0"/>
              <w:widowControl w:val="0"/>
              <w:jc w:val="left"/>
              <w:rPr>
                <w:szCs w:val="18"/>
              </w:rPr>
            </w:pPr>
            <w:r w:rsidRPr="00785B62">
              <w:t>1004.00</w:t>
            </w:r>
          </w:p>
        </w:tc>
        <w:tc>
          <w:tcPr>
            <w:tcW w:w="4073" w:type="dxa"/>
            <w:tcBorders>
              <w:left w:val="single" w:sz="8" w:space="0" w:color="7BA0CD" w:themeColor="accent1" w:themeTint="BF"/>
              <w:right w:val="single" w:sz="8" w:space="0" w:color="7BA0CD" w:themeColor="accent1" w:themeTint="BF"/>
            </w:tcBorders>
            <w:noWrap/>
          </w:tcPr>
          <w:p w14:paraId="1311DBFE" w14:textId="32AE527B"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Music</w:t>
            </w:r>
          </w:p>
        </w:tc>
        <w:tc>
          <w:tcPr>
            <w:tcW w:w="1080" w:type="dxa"/>
            <w:tcBorders>
              <w:left w:val="single" w:sz="8" w:space="0" w:color="7BA0CD" w:themeColor="accent1" w:themeTint="BF"/>
              <w:right w:val="single" w:sz="8" w:space="0" w:color="7BA0CD" w:themeColor="accent1" w:themeTint="BF"/>
            </w:tcBorders>
            <w:noWrap/>
          </w:tcPr>
          <w:p w14:paraId="2F315C7E" w14:textId="428E5345"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8</w:t>
            </w:r>
          </w:p>
        </w:tc>
        <w:tc>
          <w:tcPr>
            <w:tcW w:w="1260" w:type="dxa"/>
            <w:tcBorders>
              <w:left w:val="single" w:sz="8" w:space="0" w:color="7BA0CD" w:themeColor="accent1" w:themeTint="BF"/>
              <w:right w:val="single" w:sz="8" w:space="0" w:color="7BA0CD" w:themeColor="accent1" w:themeTint="BF"/>
            </w:tcBorders>
            <w:noWrap/>
          </w:tcPr>
          <w:p w14:paraId="13B6109D" w14:textId="25B6B179"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0</w:t>
            </w:r>
          </w:p>
        </w:tc>
        <w:tc>
          <w:tcPr>
            <w:tcW w:w="1260" w:type="dxa"/>
            <w:tcBorders>
              <w:left w:val="single" w:sz="8" w:space="0" w:color="7BA0CD" w:themeColor="accent1" w:themeTint="BF"/>
              <w:right w:val="single" w:sz="8" w:space="0" w:color="7BA0CD" w:themeColor="accent1" w:themeTint="BF"/>
            </w:tcBorders>
            <w:noWrap/>
          </w:tcPr>
          <w:p w14:paraId="4AA80B69" w14:textId="1773F253"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0</w:t>
            </w:r>
          </w:p>
        </w:tc>
        <w:tc>
          <w:tcPr>
            <w:tcW w:w="900" w:type="dxa"/>
            <w:tcBorders>
              <w:left w:val="single" w:sz="8" w:space="0" w:color="7BA0CD" w:themeColor="accent1" w:themeTint="BF"/>
            </w:tcBorders>
            <w:noWrap/>
          </w:tcPr>
          <w:p w14:paraId="2BCA93B6" w14:textId="402BAB29"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8 </w:t>
            </w:r>
          </w:p>
        </w:tc>
      </w:tr>
      <w:tr w:rsidR="00064FED" w:rsidRPr="005D49D1" w14:paraId="5CBD09D4"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50C0A209" w14:textId="773A47BE" w:rsidR="00064FED" w:rsidRPr="00D77C12" w:rsidRDefault="00064FED" w:rsidP="00CF4D11">
            <w:pPr>
              <w:pStyle w:val="Tablenormalleft"/>
              <w:keepNext w:val="0"/>
              <w:widowControl w:val="0"/>
              <w:jc w:val="left"/>
              <w:rPr>
                <w:szCs w:val="18"/>
              </w:rPr>
            </w:pPr>
            <w:r w:rsidRPr="00785B62">
              <w:t>3020.00</w:t>
            </w:r>
          </w:p>
        </w:tc>
        <w:tc>
          <w:tcPr>
            <w:tcW w:w="4073" w:type="dxa"/>
            <w:tcBorders>
              <w:left w:val="single" w:sz="8" w:space="0" w:color="7BA0CD" w:themeColor="accent1" w:themeTint="BF"/>
              <w:right w:val="single" w:sz="8" w:space="0" w:color="7BA0CD" w:themeColor="accent1" w:themeTint="BF"/>
            </w:tcBorders>
            <w:noWrap/>
          </w:tcPr>
          <w:p w14:paraId="091525EA" w14:textId="3B2CCF22"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Aviation and Airport Management and Services</w:t>
            </w:r>
          </w:p>
        </w:tc>
        <w:tc>
          <w:tcPr>
            <w:tcW w:w="1080" w:type="dxa"/>
            <w:tcBorders>
              <w:left w:val="single" w:sz="8" w:space="0" w:color="7BA0CD" w:themeColor="accent1" w:themeTint="BF"/>
              <w:right w:val="single" w:sz="8" w:space="0" w:color="7BA0CD" w:themeColor="accent1" w:themeTint="BF"/>
            </w:tcBorders>
            <w:noWrap/>
          </w:tcPr>
          <w:p w14:paraId="0B5C320A" w14:textId="12E06482"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12</w:t>
            </w:r>
          </w:p>
        </w:tc>
        <w:tc>
          <w:tcPr>
            <w:tcW w:w="1260" w:type="dxa"/>
            <w:tcBorders>
              <w:left w:val="single" w:sz="8" w:space="0" w:color="7BA0CD" w:themeColor="accent1" w:themeTint="BF"/>
              <w:right w:val="single" w:sz="8" w:space="0" w:color="7BA0CD" w:themeColor="accent1" w:themeTint="BF"/>
            </w:tcBorders>
            <w:noWrap/>
          </w:tcPr>
          <w:p w14:paraId="6AF86DAA" w14:textId="541C6BA8"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6</w:t>
            </w:r>
          </w:p>
        </w:tc>
        <w:tc>
          <w:tcPr>
            <w:tcW w:w="1260" w:type="dxa"/>
            <w:tcBorders>
              <w:left w:val="single" w:sz="8" w:space="0" w:color="7BA0CD" w:themeColor="accent1" w:themeTint="BF"/>
              <w:right w:val="single" w:sz="8" w:space="0" w:color="7BA0CD" w:themeColor="accent1" w:themeTint="BF"/>
            </w:tcBorders>
            <w:noWrap/>
          </w:tcPr>
          <w:p w14:paraId="57941043" w14:textId="79E06EC5"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6</w:t>
            </w:r>
          </w:p>
        </w:tc>
        <w:tc>
          <w:tcPr>
            <w:tcW w:w="900" w:type="dxa"/>
            <w:tcBorders>
              <w:left w:val="single" w:sz="8" w:space="0" w:color="7BA0CD" w:themeColor="accent1" w:themeTint="BF"/>
            </w:tcBorders>
            <w:noWrap/>
          </w:tcPr>
          <w:p w14:paraId="6640BDC5" w14:textId="3F95D16B"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6 </w:t>
            </w:r>
          </w:p>
        </w:tc>
      </w:tr>
      <w:tr w:rsidR="00064FED" w:rsidRPr="005D49D1" w14:paraId="64908606"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hideMark/>
          </w:tcPr>
          <w:p w14:paraId="6D471873" w14:textId="335CFF18" w:rsidR="00064FED" w:rsidRPr="00D77C12" w:rsidRDefault="00064FED" w:rsidP="00CF4D11">
            <w:pPr>
              <w:pStyle w:val="Tablenormalleft"/>
              <w:keepNext w:val="0"/>
              <w:widowControl w:val="0"/>
              <w:jc w:val="left"/>
              <w:rPr>
                <w:szCs w:val="18"/>
              </w:rPr>
            </w:pPr>
            <w:r w:rsidRPr="00785B62">
              <w:t>1502.00</w:t>
            </w:r>
          </w:p>
        </w:tc>
        <w:tc>
          <w:tcPr>
            <w:tcW w:w="4073" w:type="dxa"/>
            <w:tcBorders>
              <w:left w:val="single" w:sz="8" w:space="0" w:color="7BA0CD" w:themeColor="accent1" w:themeTint="BF"/>
              <w:right w:val="single" w:sz="8" w:space="0" w:color="7BA0CD" w:themeColor="accent1" w:themeTint="BF"/>
            </w:tcBorders>
            <w:noWrap/>
            <w:hideMark/>
          </w:tcPr>
          <w:p w14:paraId="5B81E6F1" w14:textId="1D7A2A32"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Language Arts</w:t>
            </w:r>
          </w:p>
        </w:tc>
        <w:tc>
          <w:tcPr>
            <w:tcW w:w="1080" w:type="dxa"/>
            <w:tcBorders>
              <w:left w:val="single" w:sz="8" w:space="0" w:color="7BA0CD" w:themeColor="accent1" w:themeTint="BF"/>
              <w:right w:val="single" w:sz="8" w:space="0" w:color="7BA0CD" w:themeColor="accent1" w:themeTint="BF"/>
            </w:tcBorders>
            <w:noWrap/>
            <w:hideMark/>
          </w:tcPr>
          <w:p w14:paraId="21858C6F" w14:textId="1C523064"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9</w:t>
            </w:r>
          </w:p>
        </w:tc>
        <w:tc>
          <w:tcPr>
            <w:tcW w:w="1260" w:type="dxa"/>
            <w:tcBorders>
              <w:left w:val="single" w:sz="8" w:space="0" w:color="7BA0CD" w:themeColor="accent1" w:themeTint="BF"/>
              <w:right w:val="single" w:sz="8" w:space="0" w:color="7BA0CD" w:themeColor="accent1" w:themeTint="BF"/>
            </w:tcBorders>
            <w:noWrap/>
            <w:hideMark/>
          </w:tcPr>
          <w:p w14:paraId="1B6952D9" w14:textId="4C9E9750"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4</w:t>
            </w:r>
          </w:p>
        </w:tc>
        <w:tc>
          <w:tcPr>
            <w:tcW w:w="1260" w:type="dxa"/>
            <w:tcBorders>
              <w:left w:val="single" w:sz="8" w:space="0" w:color="7BA0CD" w:themeColor="accent1" w:themeTint="BF"/>
              <w:right w:val="single" w:sz="8" w:space="0" w:color="7BA0CD" w:themeColor="accent1" w:themeTint="BF"/>
            </w:tcBorders>
            <w:noWrap/>
            <w:hideMark/>
          </w:tcPr>
          <w:p w14:paraId="329BFE1D" w14:textId="0D4016D4"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w:t>
            </w:r>
          </w:p>
        </w:tc>
        <w:tc>
          <w:tcPr>
            <w:tcW w:w="900" w:type="dxa"/>
            <w:tcBorders>
              <w:left w:val="single" w:sz="8" w:space="0" w:color="7BA0CD" w:themeColor="accent1" w:themeTint="BF"/>
            </w:tcBorders>
            <w:noWrap/>
            <w:hideMark/>
          </w:tcPr>
          <w:p w14:paraId="2570699E" w14:textId="3938A852"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5 </w:t>
            </w:r>
          </w:p>
        </w:tc>
      </w:tr>
      <w:tr w:rsidR="00064FED" w:rsidRPr="005D49D1" w14:paraId="193AA2A1"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hideMark/>
          </w:tcPr>
          <w:p w14:paraId="177273CA" w14:textId="46FF9C8A" w:rsidR="00064FED" w:rsidRPr="00D77C12" w:rsidRDefault="00064FED" w:rsidP="00CF4D11">
            <w:pPr>
              <w:pStyle w:val="Tablenormalleft"/>
              <w:keepNext w:val="0"/>
              <w:widowControl w:val="0"/>
              <w:jc w:val="left"/>
              <w:rPr>
                <w:szCs w:val="18"/>
              </w:rPr>
            </w:pPr>
            <w:r w:rsidRPr="00785B62">
              <w:t>956.30</w:t>
            </w:r>
          </w:p>
        </w:tc>
        <w:tc>
          <w:tcPr>
            <w:tcW w:w="4073" w:type="dxa"/>
            <w:tcBorders>
              <w:left w:val="single" w:sz="8" w:space="0" w:color="7BA0CD" w:themeColor="accent1" w:themeTint="BF"/>
              <w:right w:val="single" w:sz="8" w:space="0" w:color="7BA0CD" w:themeColor="accent1" w:themeTint="BF"/>
            </w:tcBorders>
            <w:noWrap/>
            <w:hideMark/>
          </w:tcPr>
          <w:p w14:paraId="1CD0DD88" w14:textId="4BD14BE7"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Machining and Machine Tools</w:t>
            </w:r>
          </w:p>
        </w:tc>
        <w:tc>
          <w:tcPr>
            <w:tcW w:w="1080" w:type="dxa"/>
            <w:tcBorders>
              <w:left w:val="single" w:sz="8" w:space="0" w:color="7BA0CD" w:themeColor="accent1" w:themeTint="BF"/>
              <w:right w:val="single" w:sz="8" w:space="0" w:color="7BA0CD" w:themeColor="accent1" w:themeTint="BF"/>
            </w:tcBorders>
            <w:noWrap/>
            <w:hideMark/>
          </w:tcPr>
          <w:p w14:paraId="13CF7962" w14:textId="061B954B"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4</w:t>
            </w:r>
          </w:p>
        </w:tc>
        <w:tc>
          <w:tcPr>
            <w:tcW w:w="1260" w:type="dxa"/>
            <w:tcBorders>
              <w:left w:val="single" w:sz="8" w:space="0" w:color="7BA0CD" w:themeColor="accent1" w:themeTint="BF"/>
              <w:right w:val="single" w:sz="8" w:space="0" w:color="7BA0CD" w:themeColor="accent1" w:themeTint="BF"/>
            </w:tcBorders>
            <w:noWrap/>
            <w:hideMark/>
          </w:tcPr>
          <w:p w14:paraId="19706950" w14:textId="537CFF61"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w:t>
            </w:r>
          </w:p>
        </w:tc>
        <w:tc>
          <w:tcPr>
            <w:tcW w:w="1260" w:type="dxa"/>
            <w:tcBorders>
              <w:left w:val="single" w:sz="8" w:space="0" w:color="7BA0CD" w:themeColor="accent1" w:themeTint="BF"/>
              <w:right w:val="single" w:sz="8" w:space="0" w:color="7BA0CD" w:themeColor="accent1" w:themeTint="BF"/>
            </w:tcBorders>
            <w:noWrap/>
            <w:hideMark/>
          </w:tcPr>
          <w:p w14:paraId="0884EB32" w14:textId="1C5DF075"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hideMark/>
          </w:tcPr>
          <w:p w14:paraId="6E3F9B6D" w14:textId="21A210B4"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 xml:space="preserve">3 </w:t>
            </w:r>
          </w:p>
        </w:tc>
      </w:tr>
      <w:tr w:rsidR="00064FED" w:rsidRPr="005D49D1" w14:paraId="3F545E74"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hideMark/>
          </w:tcPr>
          <w:p w14:paraId="797DC1E4" w14:textId="5C338B0A" w:rsidR="00064FED" w:rsidRPr="00D77C12" w:rsidRDefault="00064FED" w:rsidP="00CF4D11">
            <w:pPr>
              <w:pStyle w:val="Tablenormalleft"/>
              <w:keepNext w:val="0"/>
              <w:widowControl w:val="0"/>
              <w:jc w:val="left"/>
              <w:rPr>
                <w:szCs w:val="18"/>
              </w:rPr>
            </w:pPr>
            <w:r w:rsidRPr="00785B62">
              <w:t>103.00</w:t>
            </w:r>
          </w:p>
        </w:tc>
        <w:tc>
          <w:tcPr>
            <w:tcW w:w="4073" w:type="dxa"/>
            <w:tcBorders>
              <w:left w:val="single" w:sz="8" w:space="0" w:color="7BA0CD" w:themeColor="accent1" w:themeTint="BF"/>
              <w:right w:val="single" w:sz="8" w:space="0" w:color="7BA0CD" w:themeColor="accent1" w:themeTint="BF"/>
            </w:tcBorders>
            <w:noWrap/>
            <w:hideMark/>
          </w:tcPr>
          <w:p w14:paraId="68844C00" w14:textId="3B62806F"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Plant Science</w:t>
            </w:r>
          </w:p>
        </w:tc>
        <w:tc>
          <w:tcPr>
            <w:tcW w:w="1080" w:type="dxa"/>
            <w:tcBorders>
              <w:left w:val="single" w:sz="8" w:space="0" w:color="7BA0CD" w:themeColor="accent1" w:themeTint="BF"/>
              <w:right w:val="single" w:sz="8" w:space="0" w:color="7BA0CD" w:themeColor="accent1" w:themeTint="BF"/>
            </w:tcBorders>
            <w:noWrap/>
            <w:hideMark/>
          </w:tcPr>
          <w:p w14:paraId="366485BA" w14:textId="2EA8A1B0"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1260" w:type="dxa"/>
            <w:tcBorders>
              <w:left w:val="single" w:sz="8" w:space="0" w:color="7BA0CD" w:themeColor="accent1" w:themeTint="BF"/>
              <w:right w:val="single" w:sz="8" w:space="0" w:color="7BA0CD" w:themeColor="accent1" w:themeTint="BF"/>
            </w:tcBorders>
            <w:noWrap/>
            <w:hideMark/>
          </w:tcPr>
          <w:p w14:paraId="496AEF5C" w14:textId="0AFB83C7"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1260" w:type="dxa"/>
            <w:tcBorders>
              <w:left w:val="single" w:sz="8" w:space="0" w:color="7BA0CD" w:themeColor="accent1" w:themeTint="BF"/>
              <w:right w:val="single" w:sz="8" w:space="0" w:color="7BA0CD" w:themeColor="accent1" w:themeTint="BF"/>
            </w:tcBorders>
            <w:noWrap/>
            <w:hideMark/>
          </w:tcPr>
          <w:p w14:paraId="266D7E81" w14:textId="585FE2A6"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hideMark/>
          </w:tcPr>
          <w:p w14:paraId="519AEBC9" w14:textId="5C0CA68B"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 xml:space="preserve">0 </w:t>
            </w:r>
          </w:p>
        </w:tc>
      </w:tr>
      <w:tr w:rsidR="00064FED" w:rsidRPr="005D49D1" w14:paraId="0A5BB7B0"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hideMark/>
          </w:tcPr>
          <w:p w14:paraId="22B85937" w14:textId="6F861FCE" w:rsidR="00064FED" w:rsidRPr="00D77C12" w:rsidRDefault="00064FED" w:rsidP="00CF4D11">
            <w:pPr>
              <w:pStyle w:val="Tablenormalleft"/>
              <w:keepNext w:val="0"/>
              <w:widowControl w:val="0"/>
              <w:jc w:val="left"/>
              <w:rPr>
                <w:szCs w:val="18"/>
              </w:rPr>
            </w:pPr>
            <w:r w:rsidRPr="00785B62">
              <w:t>956.00</w:t>
            </w:r>
          </w:p>
        </w:tc>
        <w:tc>
          <w:tcPr>
            <w:tcW w:w="4073" w:type="dxa"/>
            <w:tcBorders>
              <w:left w:val="single" w:sz="8" w:space="0" w:color="7BA0CD" w:themeColor="accent1" w:themeTint="BF"/>
              <w:right w:val="single" w:sz="8" w:space="0" w:color="7BA0CD" w:themeColor="accent1" w:themeTint="BF"/>
            </w:tcBorders>
            <w:noWrap/>
            <w:hideMark/>
          </w:tcPr>
          <w:p w14:paraId="15435AFD" w14:textId="30588D44"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Manufacturing and Industrial Technology</w:t>
            </w:r>
          </w:p>
        </w:tc>
        <w:tc>
          <w:tcPr>
            <w:tcW w:w="1080" w:type="dxa"/>
            <w:tcBorders>
              <w:left w:val="single" w:sz="8" w:space="0" w:color="7BA0CD" w:themeColor="accent1" w:themeTint="BF"/>
              <w:right w:val="single" w:sz="8" w:space="0" w:color="7BA0CD" w:themeColor="accent1" w:themeTint="BF"/>
            </w:tcBorders>
            <w:noWrap/>
            <w:hideMark/>
          </w:tcPr>
          <w:p w14:paraId="540664BD" w14:textId="62AB0A8F"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2</w:t>
            </w:r>
          </w:p>
        </w:tc>
        <w:tc>
          <w:tcPr>
            <w:tcW w:w="1260" w:type="dxa"/>
            <w:tcBorders>
              <w:left w:val="single" w:sz="8" w:space="0" w:color="7BA0CD" w:themeColor="accent1" w:themeTint="BF"/>
              <w:right w:val="single" w:sz="8" w:space="0" w:color="7BA0CD" w:themeColor="accent1" w:themeTint="BF"/>
            </w:tcBorders>
            <w:noWrap/>
            <w:hideMark/>
          </w:tcPr>
          <w:p w14:paraId="145395C8" w14:textId="45D22E25"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2</w:t>
            </w:r>
          </w:p>
        </w:tc>
        <w:tc>
          <w:tcPr>
            <w:tcW w:w="1260" w:type="dxa"/>
            <w:tcBorders>
              <w:left w:val="single" w:sz="8" w:space="0" w:color="7BA0CD" w:themeColor="accent1" w:themeTint="BF"/>
              <w:right w:val="single" w:sz="8" w:space="0" w:color="7BA0CD" w:themeColor="accent1" w:themeTint="BF"/>
            </w:tcBorders>
            <w:noWrap/>
            <w:hideMark/>
          </w:tcPr>
          <w:p w14:paraId="65A5DB71" w14:textId="7AE8D486"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hideMark/>
          </w:tcPr>
          <w:p w14:paraId="26E06A53" w14:textId="70BF84CC"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(0)</w:t>
            </w:r>
          </w:p>
        </w:tc>
      </w:tr>
      <w:tr w:rsidR="00064FED" w:rsidRPr="005D49D1" w14:paraId="3ED33D15"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hideMark/>
          </w:tcPr>
          <w:p w14:paraId="7BA2A3FD" w14:textId="55A57CAD" w:rsidR="00064FED" w:rsidRPr="00D77C12" w:rsidRDefault="00064FED" w:rsidP="00CF4D11">
            <w:pPr>
              <w:pStyle w:val="Tablenormalleft"/>
              <w:keepNext w:val="0"/>
              <w:widowControl w:val="0"/>
              <w:jc w:val="left"/>
              <w:rPr>
                <w:szCs w:val="18"/>
              </w:rPr>
            </w:pPr>
            <w:r w:rsidRPr="00785B62">
              <w:t>1002.20</w:t>
            </w:r>
          </w:p>
        </w:tc>
        <w:tc>
          <w:tcPr>
            <w:tcW w:w="4073" w:type="dxa"/>
            <w:tcBorders>
              <w:left w:val="single" w:sz="8" w:space="0" w:color="7BA0CD" w:themeColor="accent1" w:themeTint="BF"/>
              <w:right w:val="single" w:sz="8" w:space="0" w:color="7BA0CD" w:themeColor="accent1" w:themeTint="BF"/>
            </w:tcBorders>
            <w:noWrap/>
            <w:hideMark/>
          </w:tcPr>
          <w:p w14:paraId="297A24EF" w14:textId="2C1DD8F4"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Sculpture</w:t>
            </w:r>
          </w:p>
        </w:tc>
        <w:tc>
          <w:tcPr>
            <w:tcW w:w="1080" w:type="dxa"/>
            <w:tcBorders>
              <w:left w:val="single" w:sz="8" w:space="0" w:color="7BA0CD" w:themeColor="accent1" w:themeTint="BF"/>
              <w:right w:val="single" w:sz="8" w:space="0" w:color="7BA0CD" w:themeColor="accent1" w:themeTint="BF"/>
            </w:tcBorders>
            <w:noWrap/>
            <w:hideMark/>
          </w:tcPr>
          <w:p w14:paraId="4DE7C09C" w14:textId="211ACF62"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1260" w:type="dxa"/>
            <w:tcBorders>
              <w:left w:val="single" w:sz="8" w:space="0" w:color="7BA0CD" w:themeColor="accent1" w:themeTint="BF"/>
              <w:right w:val="single" w:sz="8" w:space="0" w:color="7BA0CD" w:themeColor="accent1" w:themeTint="BF"/>
            </w:tcBorders>
            <w:noWrap/>
            <w:hideMark/>
          </w:tcPr>
          <w:p w14:paraId="4ED50E11" w14:textId="3EC24CDE"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3</w:t>
            </w:r>
          </w:p>
        </w:tc>
        <w:tc>
          <w:tcPr>
            <w:tcW w:w="1260" w:type="dxa"/>
            <w:tcBorders>
              <w:left w:val="single" w:sz="8" w:space="0" w:color="7BA0CD" w:themeColor="accent1" w:themeTint="BF"/>
              <w:right w:val="single" w:sz="8" w:space="0" w:color="7BA0CD" w:themeColor="accent1" w:themeTint="BF"/>
            </w:tcBorders>
            <w:noWrap/>
            <w:hideMark/>
          </w:tcPr>
          <w:p w14:paraId="5E898382" w14:textId="418ACD3C"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hideMark/>
          </w:tcPr>
          <w:p w14:paraId="5C86EA31" w14:textId="1343C407"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(2)</w:t>
            </w:r>
          </w:p>
        </w:tc>
      </w:tr>
      <w:tr w:rsidR="00064FED" w:rsidRPr="005D49D1" w14:paraId="24308C10"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hideMark/>
          </w:tcPr>
          <w:p w14:paraId="48DB1BF4" w14:textId="5D4177D1" w:rsidR="00064FED" w:rsidRPr="00D77C12" w:rsidRDefault="00064FED" w:rsidP="00CF4D11">
            <w:pPr>
              <w:pStyle w:val="Tablenormalleft"/>
              <w:keepNext w:val="0"/>
              <w:widowControl w:val="0"/>
              <w:jc w:val="left"/>
              <w:rPr>
                <w:szCs w:val="18"/>
              </w:rPr>
            </w:pPr>
            <w:r w:rsidRPr="00785B62">
              <w:t>1901.00</w:t>
            </w:r>
          </w:p>
        </w:tc>
        <w:tc>
          <w:tcPr>
            <w:tcW w:w="4073" w:type="dxa"/>
            <w:tcBorders>
              <w:left w:val="single" w:sz="8" w:space="0" w:color="7BA0CD" w:themeColor="accent1" w:themeTint="BF"/>
              <w:right w:val="single" w:sz="8" w:space="0" w:color="7BA0CD" w:themeColor="accent1" w:themeTint="BF"/>
            </w:tcBorders>
            <w:noWrap/>
            <w:hideMark/>
          </w:tcPr>
          <w:p w14:paraId="18CC4ADE" w14:textId="5E66440C"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Physical Sciences, General</w:t>
            </w:r>
          </w:p>
        </w:tc>
        <w:tc>
          <w:tcPr>
            <w:tcW w:w="1080" w:type="dxa"/>
            <w:tcBorders>
              <w:left w:val="single" w:sz="8" w:space="0" w:color="7BA0CD" w:themeColor="accent1" w:themeTint="BF"/>
              <w:right w:val="single" w:sz="8" w:space="0" w:color="7BA0CD" w:themeColor="accent1" w:themeTint="BF"/>
            </w:tcBorders>
            <w:noWrap/>
            <w:hideMark/>
          </w:tcPr>
          <w:p w14:paraId="7060D759" w14:textId="782DD551"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0</w:t>
            </w:r>
          </w:p>
        </w:tc>
        <w:tc>
          <w:tcPr>
            <w:tcW w:w="1260" w:type="dxa"/>
            <w:tcBorders>
              <w:left w:val="single" w:sz="8" w:space="0" w:color="7BA0CD" w:themeColor="accent1" w:themeTint="BF"/>
              <w:right w:val="single" w:sz="8" w:space="0" w:color="7BA0CD" w:themeColor="accent1" w:themeTint="BF"/>
            </w:tcBorders>
            <w:noWrap/>
            <w:hideMark/>
          </w:tcPr>
          <w:p w14:paraId="4E327415" w14:textId="47B69446"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3</w:t>
            </w:r>
          </w:p>
        </w:tc>
        <w:tc>
          <w:tcPr>
            <w:tcW w:w="1260" w:type="dxa"/>
            <w:tcBorders>
              <w:left w:val="single" w:sz="8" w:space="0" w:color="7BA0CD" w:themeColor="accent1" w:themeTint="BF"/>
              <w:right w:val="single" w:sz="8" w:space="0" w:color="7BA0CD" w:themeColor="accent1" w:themeTint="BF"/>
            </w:tcBorders>
            <w:noWrap/>
            <w:hideMark/>
          </w:tcPr>
          <w:p w14:paraId="009C2220" w14:textId="71787C73"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hideMark/>
          </w:tcPr>
          <w:p w14:paraId="00D5C699" w14:textId="7D2FC6BA"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(3)</w:t>
            </w:r>
          </w:p>
        </w:tc>
      </w:tr>
      <w:tr w:rsidR="00064FED" w:rsidRPr="005D49D1" w14:paraId="7FC0CCC5"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hideMark/>
          </w:tcPr>
          <w:p w14:paraId="757A14CA" w14:textId="55520524" w:rsidR="00064FED" w:rsidRPr="00D77C12" w:rsidRDefault="00064FED" w:rsidP="00CF4D11">
            <w:pPr>
              <w:pStyle w:val="Tablenormalleft"/>
              <w:keepNext w:val="0"/>
              <w:widowControl w:val="0"/>
              <w:jc w:val="left"/>
              <w:rPr>
                <w:szCs w:val="18"/>
              </w:rPr>
            </w:pPr>
            <w:r w:rsidRPr="00785B62">
              <w:t>956.50</w:t>
            </w:r>
          </w:p>
        </w:tc>
        <w:tc>
          <w:tcPr>
            <w:tcW w:w="4073" w:type="dxa"/>
            <w:tcBorders>
              <w:left w:val="single" w:sz="8" w:space="0" w:color="7BA0CD" w:themeColor="accent1" w:themeTint="BF"/>
              <w:right w:val="single" w:sz="8" w:space="0" w:color="7BA0CD" w:themeColor="accent1" w:themeTint="BF"/>
            </w:tcBorders>
            <w:noWrap/>
            <w:hideMark/>
          </w:tcPr>
          <w:p w14:paraId="677C8C2B" w14:textId="6EE73BD7"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785B62">
              <w:t>Welding Technology</w:t>
            </w:r>
          </w:p>
        </w:tc>
        <w:tc>
          <w:tcPr>
            <w:tcW w:w="1080" w:type="dxa"/>
            <w:tcBorders>
              <w:left w:val="single" w:sz="8" w:space="0" w:color="7BA0CD" w:themeColor="accent1" w:themeTint="BF"/>
              <w:right w:val="single" w:sz="8" w:space="0" w:color="7BA0CD" w:themeColor="accent1" w:themeTint="BF"/>
            </w:tcBorders>
            <w:noWrap/>
            <w:hideMark/>
          </w:tcPr>
          <w:p w14:paraId="301A3CBE" w14:textId="7B9425AD"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2</w:t>
            </w:r>
          </w:p>
        </w:tc>
        <w:tc>
          <w:tcPr>
            <w:tcW w:w="1260" w:type="dxa"/>
            <w:tcBorders>
              <w:left w:val="single" w:sz="8" w:space="0" w:color="7BA0CD" w:themeColor="accent1" w:themeTint="BF"/>
              <w:right w:val="single" w:sz="8" w:space="0" w:color="7BA0CD" w:themeColor="accent1" w:themeTint="BF"/>
            </w:tcBorders>
            <w:noWrap/>
            <w:hideMark/>
          </w:tcPr>
          <w:p w14:paraId="799906CF" w14:textId="3FB85944"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6</w:t>
            </w:r>
          </w:p>
        </w:tc>
        <w:tc>
          <w:tcPr>
            <w:tcW w:w="1260" w:type="dxa"/>
            <w:tcBorders>
              <w:left w:val="single" w:sz="8" w:space="0" w:color="7BA0CD" w:themeColor="accent1" w:themeTint="BF"/>
              <w:right w:val="single" w:sz="8" w:space="0" w:color="7BA0CD" w:themeColor="accent1" w:themeTint="BF"/>
            </w:tcBorders>
            <w:noWrap/>
            <w:hideMark/>
          </w:tcPr>
          <w:p w14:paraId="7EA71F78" w14:textId="68691268"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1</w:t>
            </w:r>
          </w:p>
        </w:tc>
        <w:tc>
          <w:tcPr>
            <w:tcW w:w="900" w:type="dxa"/>
            <w:tcBorders>
              <w:left w:val="single" w:sz="8" w:space="0" w:color="7BA0CD" w:themeColor="accent1" w:themeTint="BF"/>
            </w:tcBorders>
            <w:noWrap/>
            <w:hideMark/>
          </w:tcPr>
          <w:p w14:paraId="6C6F2A90" w14:textId="2834D501"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785B62">
              <w:t>(4)</w:t>
            </w:r>
          </w:p>
        </w:tc>
      </w:tr>
      <w:tr w:rsidR="00064FED" w:rsidRPr="005D49D1" w14:paraId="6279B54A"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hideMark/>
          </w:tcPr>
          <w:p w14:paraId="227CA884" w14:textId="57877C38" w:rsidR="00064FED" w:rsidRPr="00D77C12" w:rsidRDefault="00064FED" w:rsidP="00CF4D11">
            <w:pPr>
              <w:pStyle w:val="Tablenormalleft"/>
              <w:keepNext w:val="0"/>
              <w:widowControl w:val="0"/>
              <w:jc w:val="left"/>
              <w:rPr>
                <w:szCs w:val="18"/>
              </w:rPr>
            </w:pPr>
            <w:r w:rsidRPr="00785B62">
              <w:t>114.00</w:t>
            </w:r>
          </w:p>
        </w:tc>
        <w:tc>
          <w:tcPr>
            <w:tcW w:w="4073" w:type="dxa"/>
            <w:tcBorders>
              <w:left w:val="single" w:sz="8" w:space="0" w:color="7BA0CD" w:themeColor="accent1" w:themeTint="BF"/>
              <w:right w:val="single" w:sz="8" w:space="0" w:color="7BA0CD" w:themeColor="accent1" w:themeTint="BF"/>
            </w:tcBorders>
            <w:noWrap/>
            <w:hideMark/>
          </w:tcPr>
          <w:p w14:paraId="235988AD" w14:textId="6163CB46"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785B62">
              <w:t>Forestry</w:t>
            </w:r>
          </w:p>
        </w:tc>
        <w:tc>
          <w:tcPr>
            <w:tcW w:w="1080" w:type="dxa"/>
            <w:tcBorders>
              <w:left w:val="single" w:sz="8" w:space="0" w:color="7BA0CD" w:themeColor="accent1" w:themeTint="BF"/>
              <w:right w:val="single" w:sz="8" w:space="0" w:color="7BA0CD" w:themeColor="accent1" w:themeTint="BF"/>
            </w:tcBorders>
            <w:noWrap/>
            <w:hideMark/>
          </w:tcPr>
          <w:p w14:paraId="3CDD1B95" w14:textId="040E1739"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4</w:t>
            </w:r>
          </w:p>
        </w:tc>
        <w:tc>
          <w:tcPr>
            <w:tcW w:w="1260" w:type="dxa"/>
            <w:tcBorders>
              <w:left w:val="single" w:sz="8" w:space="0" w:color="7BA0CD" w:themeColor="accent1" w:themeTint="BF"/>
              <w:right w:val="single" w:sz="8" w:space="0" w:color="7BA0CD" w:themeColor="accent1" w:themeTint="BF"/>
            </w:tcBorders>
            <w:noWrap/>
            <w:hideMark/>
          </w:tcPr>
          <w:p w14:paraId="0977E897" w14:textId="589A2B47"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11</w:t>
            </w:r>
          </w:p>
        </w:tc>
        <w:tc>
          <w:tcPr>
            <w:tcW w:w="1260" w:type="dxa"/>
            <w:tcBorders>
              <w:left w:val="single" w:sz="8" w:space="0" w:color="7BA0CD" w:themeColor="accent1" w:themeTint="BF"/>
              <w:right w:val="single" w:sz="8" w:space="0" w:color="7BA0CD" w:themeColor="accent1" w:themeTint="BF"/>
            </w:tcBorders>
            <w:noWrap/>
            <w:hideMark/>
          </w:tcPr>
          <w:p w14:paraId="5822AAF1" w14:textId="6A929BA7"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10</w:t>
            </w:r>
          </w:p>
        </w:tc>
        <w:tc>
          <w:tcPr>
            <w:tcW w:w="900" w:type="dxa"/>
            <w:tcBorders>
              <w:left w:val="single" w:sz="8" w:space="0" w:color="7BA0CD" w:themeColor="accent1" w:themeTint="BF"/>
            </w:tcBorders>
            <w:noWrap/>
            <w:hideMark/>
          </w:tcPr>
          <w:p w14:paraId="4504C155" w14:textId="2BAC5AD7"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785B62">
              <w:t>(6)</w:t>
            </w:r>
          </w:p>
        </w:tc>
      </w:tr>
      <w:tr w:rsidR="00064FED" w:rsidRPr="005D49D1" w14:paraId="64085E16"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5A3B3C37" w14:textId="57B3056A" w:rsidR="00064FED" w:rsidRPr="00D77C12" w:rsidRDefault="00064FED" w:rsidP="00CF4D11">
            <w:pPr>
              <w:pStyle w:val="Tablenormalleft"/>
              <w:keepNext w:val="0"/>
              <w:widowControl w:val="0"/>
              <w:jc w:val="left"/>
              <w:rPr>
                <w:color w:val="000000"/>
                <w:szCs w:val="18"/>
              </w:rPr>
            </w:pPr>
            <w:r w:rsidRPr="00785B62">
              <w:t>101.00</w:t>
            </w:r>
          </w:p>
        </w:tc>
        <w:tc>
          <w:tcPr>
            <w:tcW w:w="4073" w:type="dxa"/>
            <w:tcBorders>
              <w:left w:val="single" w:sz="8" w:space="0" w:color="7BA0CD" w:themeColor="accent1" w:themeTint="BF"/>
              <w:right w:val="single" w:sz="8" w:space="0" w:color="7BA0CD" w:themeColor="accent1" w:themeTint="BF"/>
            </w:tcBorders>
            <w:noWrap/>
          </w:tcPr>
          <w:p w14:paraId="2D8201B8" w14:textId="7D38F864"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785B62">
              <w:t>Agriculture Technology and Sciences, General</w:t>
            </w:r>
          </w:p>
        </w:tc>
        <w:tc>
          <w:tcPr>
            <w:tcW w:w="1080" w:type="dxa"/>
            <w:tcBorders>
              <w:left w:val="single" w:sz="8" w:space="0" w:color="7BA0CD" w:themeColor="accent1" w:themeTint="BF"/>
              <w:right w:val="single" w:sz="8" w:space="0" w:color="7BA0CD" w:themeColor="accent1" w:themeTint="BF"/>
            </w:tcBorders>
            <w:noWrap/>
          </w:tcPr>
          <w:p w14:paraId="6F88AD5B" w14:textId="0601E616"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1</w:t>
            </w:r>
          </w:p>
        </w:tc>
        <w:tc>
          <w:tcPr>
            <w:tcW w:w="1260" w:type="dxa"/>
            <w:tcBorders>
              <w:left w:val="single" w:sz="8" w:space="0" w:color="7BA0CD" w:themeColor="accent1" w:themeTint="BF"/>
              <w:right w:val="single" w:sz="8" w:space="0" w:color="7BA0CD" w:themeColor="accent1" w:themeTint="BF"/>
            </w:tcBorders>
            <w:noWrap/>
          </w:tcPr>
          <w:p w14:paraId="696F8121" w14:textId="0805A6EA"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11</w:t>
            </w:r>
          </w:p>
        </w:tc>
        <w:tc>
          <w:tcPr>
            <w:tcW w:w="1260" w:type="dxa"/>
            <w:tcBorders>
              <w:left w:val="single" w:sz="8" w:space="0" w:color="7BA0CD" w:themeColor="accent1" w:themeTint="BF"/>
              <w:right w:val="single" w:sz="8" w:space="0" w:color="7BA0CD" w:themeColor="accent1" w:themeTint="BF"/>
            </w:tcBorders>
            <w:noWrap/>
          </w:tcPr>
          <w:p w14:paraId="75B9BF9A" w14:textId="67942DEE"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4</w:t>
            </w:r>
          </w:p>
        </w:tc>
        <w:tc>
          <w:tcPr>
            <w:tcW w:w="900" w:type="dxa"/>
            <w:tcBorders>
              <w:left w:val="single" w:sz="8" w:space="0" w:color="7BA0CD" w:themeColor="accent1" w:themeTint="BF"/>
            </w:tcBorders>
            <w:noWrap/>
          </w:tcPr>
          <w:p w14:paraId="71F8775F" w14:textId="7B67BE90"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785B62">
              <w:t>(10)</w:t>
            </w:r>
          </w:p>
        </w:tc>
      </w:tr>
      <w:tr w:rsidR="00064FED" w:rsidRPr="005D49D1" w14:paraId="0A3734E0"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300E6575" w14:textId="56096FA2" w:rsidR="00064FED" w:rsidRPr="00D77C12" w:rsidRDefault="00064FED" w:rsidP="00CF4D11">
            <w:pPr>
              <w:pStyle w:val="Tablenormalleft"/>
              <w:keepNext w:val="0"/>
              <w:widowControl w:val="0"/>
              <w:jc w:val="left"/>
              <w:rPr>
                <w:color w:val="000000"/>
                <w:szCs w:val="18"/>
              </w:rPr>
            </w:pPr>
            <w:r w:rsidRPr="00785B62">
              <w:t>1002.00</w:t>
            </w:r>
          </w:p>
        </w:tc>
        <w:tc>
          <w:tcPr>
            <w:tcW w:w="4073" w:type="dxa"/>
            <w:tcBorders>
              <w:left w:val="single" w:sz="8" w:space="0" w:color="7BA0CD" w:themeColor="accent1" w:themeTint="BF"/>
              <w:right w:val="single" w:sz="8" w:space="0" w:color="7BA0CD" w:themeColor="accent1" w:themeTint="BF"/>
            </w:tcBorders>
            <w:noWrap/>
          </w:tcPr>
          <w:p w14:paraId="33570FD3" w14:textId="5193A9E4"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785B62">
              <w:t>Art (Painting, Drawing, and Sculpture)</w:t>
            </w:r>
          </w:p>
        </w:tc>
        <w:tc>
          <w:tcPr>
            <w:tcW w:w="1080" w:type="dxa"/>
            <w:tcBorders>
              <w:left w:val="single" w:sz="8" w:space="0" w:color="7BA0CD" w:themeColor="accent1" w:themeTint="BF"/>
              <w:right w:val="single" w:sz="8" w:space="0" w:color="7BA0CD" w:themeColor="accent1" w:themeTint="BF"/>
            </w:tcBorders>
            <w:noWrap/>
          </w:tcPr>
          <w:p w14:paraId="2E06CEB8" w14:textId="2047D71C"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3</w:t>
            </w:r>
          </w:p>
        </w:tc>
        <w:tc>
          <w:tcPr>
            <w:tcW w:w="1260" w:type="dxa"/>
            <w:tcBorders>
              <w:left w:val="single" w:sz="8" w:space="0" w:color="7BA0CD" w:themeColor="accent1" w:themeTint="BF"/>
              <w:right w:val="single" w:sz="8" w:space="0" w:color="7BA0CD" w:themeColor="accent1" w:themeTint="BF"/>
            </w:tcBorders>
            <w:noWrap/>
          </w:tcPr>
          <w:p w14:paraId="5635441B" w14:textId="4143A59E"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14</w:t>
            </w:r>
          </w:p>
        </w:tc>
        <w:tc>
          <w:tcPr>
            <w:tcW w:w="1260" w:type="dxa"/>
            <w:tcBorders>
              <w:left w:val="single" w:sz="8" w:space="0" w:color="7BA0CD" w:themeColor="accent1" w:themeTint="BF"/>
              <w:right w:val="single" w:sz="8" w:space="0" w:color="7BA0CD" w:themeColor="accent1" w:themeTint="BF"/>
            </w:tcBorders>
            <w:noWrap/>
          </w:tcPr>
          <w:p w14:paraId="5482A2CA" w14:textId="2E274443"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8</w:t>
            </w:r>
          </w:p>
        </w:tc>
        <w:tc>
          <w:tcPr>
            <w:tcW w:w="900" w:type="dxa"/>
            <w:tcBorders>
              <w:left w:val="single" w:sz="8" w:space="0" w:color="7BA0CD" w:themeColor="accent1" w:themeTint="BF"/>
            </w:tcBorders>
            <w:noWrap/>
          </w:tcPr>
          <w:p w14:paraId="32ABF733" w14:textId="4E7E6BCC"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785B62">
              <w:t>(11)</w:t>
            </w:r>
          </w:p>
        </w:tc>
      </w:tr>
      <w:tr w:rsidR="00064FED" w:rsidRPr="005D49D1" w14:paraId="51B73AC7"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02F42495" w14:textId="362E688E" w:rsidR="00064FED" w:rsidRPr="00D77C12" w:rsidRDefault="00064FED" w:rsidP="00CF4D11">
            <w:pPr>
              <w:pStyle w:val="Tablenormalleft"/>
              <w:keepNext w:val="0"/>
              <w:widowControl w:val="0"/>
              <w:jc w:val="left"/>
              <w:rPr>
                <w:color w:val="000000"/>
                <w:szCs w:val="18"/>
              </w:rPr>
            </w:pPr>
            <w:r w:rsidRPr="00785B62">
              <w:t>1230.20</w:t>
            </w:r>
          </w:p>
        </w:tc>
        <w:tc>
          <w:tcPr>
            <w:tcW w:w="4073" w:type="dxa"/>
            <w:tcBorders>
              <w:left w:val="single" w:sz="8" w:space="0" w:color="7BA0CD" w:themeColor="accent1" w:themeTint="BF"/>
              <w:right w:val="single" w:sz="8" w:space="0" w:color="7BA0CD" w:themeColor="accent1" w:themeTint="BF"/>
            </w:tcBorders>
            <w:noWrap/>
          </w:tcPr>
          <w:p w14:paraId="6B2C2C3D" w14:textId="6B75D9B8"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785B62">
              <w:t>Licensed Vocational Nursing</w:t>
            </w:r>
          </w:p>
        </w:tc>
        <w:tc>
          <w:tcPr>
            <w:tcW w:w="1080" w:type="dxa"/>
            <w:tcBorders>
              <w:left w:val="single" w:sz="8" w:space="0" w:color="7BA0CD" w:themeColor="accent1" w:themeTint="BF"/>
              <w:right w:val="single" w:sz="8" w:space="0" w:color="7BA0CD" w:themeColor="accent1" w:themeTint="BF"/>
            </w:tcBorders>
            <w:noWrap/>
          </w:tcPr>
          <w:p w14:paraId="18A9FE46" w14:textId="41865DB7"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25</w:t>
            </w:r>
          </w:p>
        </w:tc>
        <w:tc>
          <w:tcPr>
            <w:tcW w:w="1260" w:type="dxa"/>
            <w:tcBorders>
              <w:left w:val="single" w:sz="8" w:space="0" w:color="7BA0CD" w:themeColor="accent1" w:themeTint="BF"/>
              <w:right w:val="single" w:sz="8" w:space="0" w:color="7BA0CD" w:themeColor="accent1" w:themeTint="BF"/>
            </w:tcBorders>
            <w:noWrap/>
          </w:tcPr>
          <w:p w14:paraId="4C8C933A" w14:textId="7D5A5688"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43</w:t>
            </w:r>
          </w:p>
        </w:tc>
        <w:tc>
          <w:tcPr>
            <w:tcW w:w="1260" w:type="dxa"/>
            <w:tcBorders>
              <w:left w:val="single" w:sz="8" w:space="0" w:color="7BA0CD" w:themeColor="accent1" w:themeTint="BF"/>
              <w:right w:val="single" w:sz="8" w:space="0" w:color="7BA0CD" w:themeColor="accent1" w:themeTint="BF"/>
            </w:tcBorders>
            <w:noWrap/>
          </w:tcPr>
          <w:p w14:paraId="47F90311" w14:textId="32BF8DB7"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3</w:t>
            </w:r>
          </w:p>
        </w:tc>
        <w:tc>
          <w:tcPr>
            <w:tcW w:w="900" w:type="dxa"/>
            <w:tcBorders>
              <w:left w:val="single" w:sz="8" w:space="0" w:color="7BA0CD" w:themeColor="accent1" w:themeTint="BF"/>
            </w:tcBorders>
            <w:noWrap/>
          </w:tcPr>
          <w:p w14:paraId="36F78BB4" w14:textId="679AB59C"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785B62">
              <w:t>(18)</w:t>
            </w:r>
          </w:p>
        </w:tc>
      </w:tr>
      <w:tr w:rsidR="00064FED" w:rsidRPr="005D49D1" w14:paraId="6AB29442"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bottom w:val="single" w:sz="8" w:space="0" w:color="7BA0CD" w:themeColor="accent1" w:themeTint="BF"/>
              <w:right w:val="single" w:sz="8" w:space="0" w:color="7BA0CD" w:themeColor="accent1" w:themeTint="BF"/>
            </w:tcBorders>
            <w:noWrap/>
          </w:tcPr>
          <w:p w14:paraId="7D56BB95" w14:textId="744093C6" w:rsidR="00064FED" w:rsidRPr="00D77C12" w:rsidRDefault="00064FED" w:rsidP="00CF4D11">
            <w:pPr>
              <w:pStyle w:val="Tablenormalleft"/>
              <w:keepNext w:val="0"/>
              <w:widowControl w:val="0"/>
              <w:jc w:val="left"/>
              <w:rPr>
                <w:color w:val="000000"/>
                <w:szCs w:val="18"/>
              </w:rPr>
            </w:pPr>
            <w:r w:rsidRPr="00785B62">
              <w:t>505.00</w:t>
            </w:r>
          </w:p>
        </w:tc>
        <w:tc>
          <w:tcPr>
            <w:tcW w:w="4073" w:type="dxa"/>
            <w:tcBorders>
              <w:left w:val="single" w:sz="8" w:space="0" w:color="7BA0CD" w:themeColor="accent1" w:themeTint="BF"/>
              <w:bottom w:val="single" w:sz="8" w:space="0" w:color="7BA0CD" w:themeColor="accent1" w:themeTint="BF"/>
              <w:right w:val="single" w:sz="8" w:space="0" w:color="7BA0CD" w:themeColor="accent1" w:themeTint="BF"/>
            </w:tcBorders>
            <w:noWrap/>
          </w:tcPr>
          <w:p w14:paraId="0367346D" w14:textId="6F1593F1"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785B62">
              <w:t>Business Administration</w:t>
            </w:r>
          </w:p>
        </w:tc>
        <w:tc>
          <w:tcPr>
            <w:tcW w:w="1080" w:type="dxa"/>
            <w:tcBorders>
              <w:left w:val="single" w:sz="8" w:space="0" w:color="7BA0CD" w:themeColor="accent1" w:themeTint="BF"/>
              <w:bottom w:val="single" w:sz="8" w:space="0" w:color="7BA0CD" w:themeColor="accent1" w:themeTint="BF"/>
              <w:right w:val="single" w:sz="8" w:space="0" w:color="7BA0CD" w:themeColor="accent1" w:themeTint="BF"/>
            </w:tcBorders>
            <w:noWrap/>
          </w:tcPr>
          <w:p w14:paraId="2952DF4A" w14:textId="161A90A4"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150</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tcPr>
          <w:p w14:paraId="6B4CDB5E" w14:textId="6B8A7500"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173</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noWrap/>
          </w:tcPr>
          <w:p w14:paraId="7E889BE8" w14:textId="4CF63B51"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23</w:t>
            </w:r>
          </w:p>
        </w:tc>
        <w:tc>
          <w:tcPr>
            <w:tcW w:w="900" w:type="dxa"/>
            <w:tcBorders>
              <w:left w:val="single" w:sz="8" w:space="0" w:color="7BA0CD" w:themeColor="accent1" w:themeTint="BF"/>
              <w:bottom w:val="single" w:sz="8" w:space="0" w:color="7BA0CD" w:themeColor="accent1" w:themeTint="BF"/>
            </w:tcBorders>
            <w:noWrap/>
          </w:tcPr>
          <w:p w14:paraId="59D20FBC" w14:textId="64C19CB1"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785B62">
              <w:t>(24)</w:t>
            </w:r>
          </w:p>
        </w:tc>
      </w:tr>
      <w:tr w:rsidR="00064FED" w:rsidRPr="005D49D1" w14:paraId="00AB98E8"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5FEE9692" w14:textId="44368B90" w:rsidR="00064FED" w:rsidRPr="00D77C12" w:rsidRDefault="00064FED" w:rsidP="00CF4D11">
            <w:pPr>
              <w:pStyle w:val="Tablenormalleft"/>
              <w:keepNext w:val="0"/>
              <w:widowControl w:val="0"/>
              <w:jc w:val="left"/>
              <w:rPr>
                <w:color w:val="000000"/>
                <w:szCs w:val="18"/>
              </w:rPr>
            </w:pPr>
            <w:r w:rsidRPr="00785B62">
              <w:t>1506.00</w:t>
            </w:r>
          </w:p>
        </w:tc>
        <w:tc>
          <w:tcPr>
            <w:tcW w:w="4073" w:type="dxa"/>
            <w:tcBorders>
              <w:left w:val="single" w:sz="8" w:space="0" w:color="7BA0CD" w:themeColor="accent1" w:themeTint="BF"/>
              <w:right w:val="single" w:sz="8" w:space="0" w:color="7BA0CD" w:themeColor="accent1" w:themeTint="BF"/>
            </w:tcBorders>
            <w:noWrap/>
          </w:tcPr>
          <w:p w14:paraId="5F133CC6" w14:textId="1DE4659D" w:rsidR="00064FED" w:rsidRPr="00D77C12"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color w:val="000000"/>
                <w:szCs w:val="18"/>
              </w:rPr>
            </w:pPr>
            <w:r w:rsidRPr="00785B62">
              <w:t>Speech Communication</w:t>
            </w:r>
          </w:p>
        </w:tc>
        <w:tc>
          <w:tcPr>
            <w:tcW w:w="1080" w:type="dxa"/>
            <w:tcBorders>
              <w:left w:val="single" w:sz="8" w:space="0" w:color="7BA0CD" w:themeColor="accent1" w:themeTint="BF"/>
              <w:right w:val="single" w:sz="8" w:space="0" w:color="7BA0CD" w:themeColor="accent1" w:themeTint="BF"/>
            </w:tcBorders>
            <w:noWrap/>
          </w:tcPr>
          <w:p w14:paraId="000F5AB0" w14:textId="4DE02330"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1</w:t>
            </w:r>
          </w:p>
        </w:tc>
        <w:tc>
          <w:tcPr>
            <w:tcW w:w="1260" w:type="dxa"/>
            <w:tcBorders>
              <w:left w:val="single" w:sz="8" w:space="0" w:color="7BA0CD" w:themeColor="accent1" w:themeTint="BF"/>
              <w:right w:val="single" w:sz="8" w:space="0" w:color="7BA0CD" w:themeColor="accent1" w:themeTint="BF"/>
            </w:tcBorders>
            <w:noWrap/>
          </w:tcPr>
          <w:p w14:paraId="6816D4D9" w14:textId="262D36F8"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35</w:t>
            </w:r>
          </w:p>
        </w:tc>
        <w:tc>
          <w:tcPr>
            <w:tcW w:w="1260" w:type="dxa"/>
            <w:tcBorders>
              <w:left w:val="single" w:sz="8" w:space="0" w:color="7BA0CD" w:themeColor="accent1" w:themeTint="BF"/>
              <w:right w:val="single" w:sz="8" w:space="0" w:color="7BA0CD" w:themeColor="accent1" w:themeTint="BF"/>
            </w:tcBorders>
            <w:noWrap/>
          </w:tcPr>
          <w:p w14:paraId="4EF06A8A" w14:textId="08AD533B"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85B62">
              <w:t>7</w:t>
            </w:r>
          </w:p>
        </w:tc>
        <w:tc>
          <w:tcPr>
            <w:tcW w:w="900" w:type="dxa"/>
            <w:tcBorders>
              <w:left w:val="single" w:sz="8" w:space="0" w:color="7BA0CD" w:themeColor="accent1" w:themeTint="BF"/>
            </w:tcBorders>
            <w:noWrap/>
          </w:tcPr>
          <w:p w14:paraId="78341236" w14:textId="579CCC29" w:rsidR="00064FED" w:rsidRPr="00D77C12"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color w:val="FF0000"/>
                <w:szCs w:val="18"/>
              </w:rPr>
            </w:pPr>
            <w:r w:rsidRPr="00785B62">
              <w:t>(34)</w:t>
            </w:r>
          </w:p>
        </w:tc>
      </w:tr>
      <w:tr w:rsidR="00064FED" w:rsidRPr="005D49D1" w14:paraId="7BCB973C"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5215B65A" w14:textId="0580D8B2" w:rsidR="00064FED" w:rsidRPr="00D77C12" w:rsidRDefault="00064FED" w:rsidP="00CF4D11">
            <w:pPr>
              <w:pStyle w:val="Tablenormalleft"/>
              <w:keepNext w:val="0"/>
              <w:widowControl w:val="0"/>
              <w:jc w:val="left"/>
              <w:rPr>
                <w:color w:val="000000"/>
                <w:szCs w:val="18"/>
              </w:rPr>
            </w:pPr>
            <w:r w:rsidRPr="00785B62">
              <w:t>1240.20</w:t>
            </w:r>
          </w:p>
        </w:tc>
        <w:tc>
          <w:tcPr>
            <w:tcW w:w="4073" w:type="dxa"/>
            <w:tcBorders>
              <w:left w:val="single" w:sz="8" w:space="0" w:color="7BA0CD" w:themeColor="accent1" w:themeTint="BF"/>
              <w:right w:val="single" w:sz="8" w:space="0" w:color="7BA0CD" w:themeColor="accent1" w:themeTint="BF"/>
            </w:tcBorders>
            <w:noWrap/>
          </w:tcPr>
          <w:p w14:paraId="26016BC5" w14:textId="684205C5" w:rsidR="00064FED" w:rsidRPr="00D77C12"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color w:val="000000"/>
                <w:szCs w:val="18"/>
              </w:rPr>
            </w:pPr>
            <w:r w:rsidRPr="00785B62">
              <w:t>Dental Hygienist</w:t>
            </w:r>
          </w:p>
        </w:tc>
        <w:tc>
          <w:tcPr>
            <w:tcW w:w="1080" w:type="dxa"/>
            <w:tcBorders>
              <w:left w:val="single" w:sz="8" w:space="0" w:color="7BA0CD" w:themeColor="accent1" w:themeTint="BF"/>
              <w:right w:val="single" w:sz="8" w:space="0" w:color="7BA0CD" w:themeColor="accent1" w:themeTint="BF"/>
            </w:tcBorders>
            <w:noWrap/>
          </w:tcPr>
          <w:p w14:paraId="1F90380A" w14:textId="18C2D037"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20</w:t>
            </w:r>
          </w:p>
        </w:tc>
        <w:tc>
          <w:tcPr>
            <w:tcW w:w="1260" w:type="dxa"/>
            <w:tcBorders>
              <w:left w:val="single" w:sz="8" w:space="0" w:color="7BA0CD" w:themeColor="accent1" w:themeTint="BF"/>
              <w:right w:val="single" w:sz="8" w:space="0" w:color="7BA0CD" w:themeColor="accent1" w:themeTint="BF"/>
            </w:tcBorders>
            <w:noWrap/>
          </w:tcPr>
          <w:p w14:paraId="7AC29871" w14:textId="01DCF8FE"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63</w:t>
            </w:r>
          </w:p>
        </w:tc>
        <w:tc>
          <w:tcPr>
            <w:tcW w:w="1260" w:type="dxa"/>
            <w:tcBorders>
              <w:left w:val="single" w:sz="8" w:space="0" w:color="7BA0CD" w:themeColor="accent1" w:themeTint="BF"/>
              <w:right w:val="single" w:sz="8" w:space="0" w:color="7BA0CD" w:themeColor="accent1" w:themeTint="BF"/>
            </w:tcBorders>
            <w:noWrap/>
          </w:tcPr>
          <w:p w14:paraId="165F2BD4" w14:textId="2437C80D"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85B62">
              <w:t>3</w:t>
            </w:r>
          </w:p>
        </w:tc>
        <w:tc>
          <w:tcPr>
            <w:tcW w:w="900" w:type="dxa"/>
            <w:tcBorders>
              <w:left w:val="single" w:sz="8" w:space="0" w:color="7BA0CD" w:themeColor="accent1" w:themeTint="BF"/>
            </w:tcBorders>
            <w:noWrap/>
          </w:tcPr>
          <w:p w14:paraId="5C211265" w14:textId="757889ED" w:rsidR="00064FED" w:rsidRPr="00D77C12"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color w:val="FF0000"/>
                <w:szCs w:val="18"/>
              </w:rPr>
            </w:pPr>
            <w:r w:rsidRPr="00785B62">
              <w:t>(43)</w:t>
            </w:r>
          </w:p>
        </w:tc>
      </w:tr>
      <w:tr w:rsidR="00064FED" w:rsidRPr="005D49D1" w14:paraId="42D49AA6"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6EBD0086" w14:textId="1C58A055" w:rsidR="00064FED" w:rsidRPr="001A594D" w:rsidRDefault="00064FED" w:rsidP="00CF4D11">
            <w:pPr>
              <w:pStyle w:val="Tablenormalleft"/>
              <w:keepNext w:val="0"/>
              <w:widowControl w:val="0"/>
              <w:jc w:val="left"/>
            </w:pPr>
            <w:r w:rsidRPr="00785B62">
              <w:t>1701.00</w:t>
            </w:r>
          </w:p>
        </w:tc>
        <w:tc>
          <w:tcPr>
            <w:tcW w:w="4073" w:type="dxa"/>
            <w:tcBorders>
              <w:left w:val="single" w:sz="8" w:space="0" w:color="7BA0CD" w:themeColor="accent1" w:themeTint="BF"/>
              <w:right w:val="single" w:sz="8" w:space="0" w:color="7BA0CD" w:themeColor="accent1" w:themeTint="BF"/>
            </w:tcBorders>
            <w:noWrap/>
          </w:tcPr>
          <w:p w14:paraId="63C9F735" w14:textId="4B71106D" w:rsidR="00064FED" w:rsidRPr="001A594D"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785B62">
              <w:t>Mathematics, General</w:t>
            </w:r>
          </w:p>
        </w:tc>
        <w:tc>
          <w:tcPr>
            <w:tcW w:w="1080" w:type="dxa"/>
            <w:tcBorders>
              <w:left w:val="single" w:sz="8" w:space="0" w:color="7BA0CD" w:themeColor="accent1" w:themeTint="BF"/>
              <w:right w:val="single" w:sz="8" w:space="0" w:color="7BA0CD" w:themeColor="accent1" w:themeTint="BF"/>
            </w:tcBorders>
            <w:noWrap/>
          </w:tcPr>
          <w:p w14:paraId="561DA70F" w14:textId="6EFC5536"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0</w:t>
            </w:r>
          </w:p>
        </w:tc>
        <w:tc>
          <w:tcPr>
            <w:tcW w:w="1260" w:type="dxa"/>
            <w:tcBorders>
              <w:left w:val="single" w:sz="8" w:space="0" w:color="7BA0CD" w:themeColor="accent1" w:themeTint="BF"/>
              <w:right w:val="single" w:sz="8" w:space="0" w:color="7BA0CD" w:themeColor="accent1" w:themeTint="BF"/>
            </w:tcBorders>
            <w:noWrap/>
          </w:tcPr>
          <w:p w14:paraId="4A9EDF7D" w14:textId="68A4758F"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61</w:t>
            </w:r>
          </w:p>
        </w:tc>
        <w:tc>
          <w:tcPr>
            <w:tcW w:w="1260" w:type="dxa"/>
            <w:tcBorders>
              <w:left w:val="single" w:sz="8" w:space="0" w:color="7BA0CD" w:themeColor="accent1" w:themeTint="BF"/>
              <w:right w:val="single" w:sz="8" w:space="0" w:color="7BA0CD" w:themeColor="accent1" w:themeTint="BF"/>
            </w:tcBorders>
            <w:noWrap/>
          </w:tcPr>
          <w:p w14:paraId="4BF08D9C" w14:textId="708C26CC"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22</w:t>
            </w:r>
          </w:p>
        </w:tc>
        <w:tc>
          <w:tcPr>
            <w:tcW w:w="900" w:type="dxa"/>
            <w:tcBorders>
              <w:left w:val="single" w:sz="8" w:space="0" w:color="7BA0CD" w:themeColor="accent1" w:themeTint="BF"/>
            </w:tcBorders>
            <w:noWrap/>
          </w:tcPr>
          <w:p w14:paraId="66757349" w14:textId="1D6F3FC0"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(60)</w:t>
            </w:r>
          </w:p>
        </w:tc>
      </w:tr>
      <w:tr w:rsidR="00064FED" w:rsidRPr="005D49D1" w14:paraId="1E286A1E"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3A7417CA" w14:textId="63FFE050" w:rsidR="00064FED" w:rsidRPr="001A594D" w:rsidRDefault="00064FED" w:rsidP="00CF4D11">
            <w:pPr>
              <w:pStyle w:val="Tablenormalleft"/>
              <w:keepNext w:val="0"/>
              <w:widowControl w:val="0"/>
              <w:jc w:val="left"/>
            </w:pPr>
            <w:r w:rsidRPr="00785B62">
              <w:t>1305.00</w:t>
            </w:r>
          </w:p>
        </w:tc>
        <w:tc>
          <w:tcPr>
            <w:tcW w:w="4073" w:type="dxa"/>
            <w:tcBorders>
              <w:left w:val="single" w:sz="8" w:space="0" w:color="7BA0CD" w:themeColor="accent1" w:themeTint="BF"/>
              <w:right w:val="single" w:sz="8" w:space="0" w:color="7BA0CD" w:themeColor="accent1" w:themeTint="BF"/>
            </w:tcBorders>
            <w:noWrap/>
          </w:tcPr>
          <w:p w14:paraId="12C16120" w14:textId="31AFD187" w:rsidR="00064FED" w:rsidRPr="001A594D"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785B62">
              <w:t>Child Development/Early Care and Education</w:t>
            </w:r>
          </w:p>
        </w:tc>
        <w:tc>
          <w:tcPr>
            <w:tcW w:w="1080" w:type="dxa"/>
            <w:tcBorders>
              <w:left w:val="single" w:sz="8" w:space="0" w:color="7BA0CD" w:themeColor="accent1" w:themeTint="BF"/>
              <w:right w:val="single" w:sz="8" w:space="0" w:color="7BA0CD" w:themeColor="accent1" w:themeTint="BF"/>
            </w:tcBorders>
            <w:noWrap/>
          </w:tcPr>
          <w:p w14:paraId="1FB7B9B5" w14:textId="1CA8C21D"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29</w:t>
            </w:r>
          </w:p>
        </w:tc>
        <w:tc>
          <w:tcPr>
            <w:tcW w:w="1260" w:type="dxa"/>
            <w:tcBorders>
              <w:left w:val="single" w:sz="8" w:space="0" w:color="7BA0CD" w:themeColor="accent1" w:themeTint="BF"/>
              <w:right w:val="single" w:sz="8" w:space="0" w:color="7BA0CD" w:themeColor="accent1" w:themeTint="BF"/>
            </w:tcBorders>
            <w:noWrap/>
          </w:tcPr>
          <w:p w14:paraId="665C0741" w14:textId="51DA238F"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105</w:t>
            </w:r>
          </w:p>
        </w:tc>
        <w:tc>
          <w:tcPr>
            <w:tcW w:w="1260" w:type="dxa"/>
            <w:tcBorders>
              <w:left w:val="single" w:sz="8" w:space="0" w:color="7BA0CD" w:themeColor="accent1" w:themeTint="BF"/>
              <w:right w:val="single" w:sz="8" w:space="0" w:color="7BA0CD" w:themeColor="accent1" w:themeTint="BF"/>
            </w:tcBorders>
            <w:noWrap/>
          </w:tcPr>
          <w:p w14:paraId="738F32C9" w14:textId="79008BAA"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w:t>
            </w:r>
          </w:p>
        </w:tc>
        <w:tc>
          <w:tcPr>
            <w:tcW w:w="900" w:type="dxa"/>
            <w:tcBorders>
              <w:left w:val="single" w:sz="8" w:space="0" w:color="7BA0CD" w:themeColor="accent1" w:themeTint="BF"/>
            </w:tcBorders>
            <w:noWrap/>
          </w:tcPr>
          <w:p w14:paraId="579C319E" w14:textId="4BE89EA2"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(76)</w:t>
            </w:r>
          </w:p>
        </w:tc>
      </w:tr>
      <w:tr w:rsidR="00064FED" w:rsidRPr="005D49D1" w14:paraId="6B169A9E"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34E590D9" w14:textId="32B6A596" w:rsidR="00064FED" w:rsidRPr="001A594D" w:rsidRDefault="00064FED" w:rsidP="00CF4D11">
            <w:pPr>
              <w:pStyle w:val="Tablenormalleft"/>
              <w:keepNext w:val="0"/>
              <w:widowControl w:val="0"/>
              <w:jc w:val="left"/>
            </w:pPr>
            <w:r w:rsidRPr="00785B62">
              <w:t>2105.00</w:t>
            </w:r>
          </w:p>
        </w:tc>
        <w:tc>
          <w:tcPr>
            <w:tcW w:w="4073" w:type="dxa"/>
            <w:tcBorders>
              <w:left w:val="single" w:sz="8" w:space="0" w:color="7BA0CD" w:themeColor="accent1" w:themeTint="BF"/>
              <w:right w:val="single" w:sz="8" w:space="0" w:color="7BA0CD" w:themeColor="accent1" w:themeTint="BF"/>
            </w:tcBorders>
            <w:noWrap/>
          </w:tcPr>
          <w:p w14:paraId="65F2A3F4" w14:textId="77B415AA" w:rsidR="00064FED" w:rsidRPr="001A594D"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785B62">
              <w:t>Administration of Justice</w:t>
            </w:r>
          </w:p>
        </w:tc>
        <w:tc>
          <w:tcPr>
            <w:tcW w:w="1080" w:type="dxa"/>
            <w:tcBorders>
              <w:left w:val="single" w:sz="8" w:space="0" w:color="7BA0CD" w:themeColor="accent1" w:themeTint="BF"/>
              <w:right w:val="single" w:sz="8" w:space="0" w:color="7BA0CD" w:themeColor="accent1" w:themeTint="BF"/>
            </w:tcBorders>
            <w:noWrap/>
          </w:tcPr>
          <w:p w14:paraId="2888C0A7" w14:textId="45556B96"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10</w:t>
            </w:r>
          </w:p>
        </w:tc>
        <w:tc>
          <w:tcPr>
            <w:tcW w:w="1260" w:type="dxa"/>
            <w:tcBorders>
              <w:left w:val="single" w:sz="8" w:space="0" w:color="7BA0CD" w:themeColor="accent1" w:themeTint="BF"/>
              <w:right w:val="single" w:sz="8" w:space="0" w:color="7BA0CD" w:themeColor="accent1" w:themeTint="BF"/>
            </w:tcBorders>
            <w:noWrap/>
          </w:tcPr>
          <w:p w14:paraId="2153878F" w14:textId="0C5CDFB3"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121</w:t>
            </w:r>
          </w:p>
        </w:tc>
        <w:tc>
          <w:tcPr>
            <w:tcW w:w="1260" w:type="dxa"/>
            <w:tcBorders>
              <w:left w:val="single" w:sz="8" w:space="0" w:color="7BA0CD" w:themeColor="accent1" w:themeTint="BF"/>
              <w:right w:val="single" w:sz="8" w:space="0" w:color="7BA0CD" w:themeColor="accent1" w:themeTint="BF"/>
            </w:tcBorders>
            <w:noWrap/>
          </w:tcPr>
          <w:p w14:paraId="1C8437F7" w14:textId="7BFC7665"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6</w:t>
            </w:r>
          </w:p>
        </w:tc>
        <w:tc>
          <w:tcPr>
            <w:tcW w:w="900" w:type="dxa"/>
            <w:tcBorders>
              <w:left w:val="single" w:sz="8" w:space="0" w:color="7BA0CD" w:themeColor="accent1" w:themeTint="BF"/>
            </w:tcBorders>
            <w:noWrap/>
          </w:tcPr>
          <w:p w14:paraId="1763CF5B" w14:textId="67DB6229"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(111)</w:t>
            </w:r>
          </w:p>
        </w:tc>
      </w:tr>
      <w:tr w:rsidR="00064FED" w:rsidRPr="005D49D1" w14:paraId="534956B7"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26B0BF1D" w14:textId="6662732E" w:rsidR="00064FED" w:rsidRPr="001A594D" w:rsidRDefault="00064FED" w:rsidP="00CF4D11">
            <w:pPr>
              <w:pStyle w:val="Tablenormalleft"/>
              <w:keepNext w:val="0"/>
              <w:widowControl w:val="0"/>
              <w:jc w:val="left"/>
            </w:pPr>
            <w:r w:rsidRPr="00785B62">
              <w:t>2105.00</w:t>
            </w:r>
          </w:p>
        </w:tc>
        <w:tc>
          <w:tcPr>
            <w:tcW w:w="4073" w:type="dxa"/>
            <w:tcBorders>
              <w:left w:val="single" w:sz="8" w:space="0" w:color="7BA0CD" w:themeColor="accent1" w:themeTint="BF"/>
              <w:right w:val="single" w:sz="8" w:space="0" w:color="7BA0CD" w:themeColor="accent1" w:themeTint="BF"/>
            </w:tcBorders>
            <w:noWrap/>
          </w:tcPr>
          <w:p w14:paraId="65A0857D" w14:textId="3F3C5DD1" w:rsidR="00064FED" w:rsidRPr="001A594D"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785B62">
              <w:t>Administration of Justice</w:t>
            </w:r>
          </w:p>
        </w:tc>
        <w:tc>
          <w:tcPr>
            <w:tcW w:w="1080" w:type="dxa"/>
            <w:tcBorders>
              <w:left w:val="single" w:sz="8" w:space="0" w:color="7BA0CD" w:themeColor="accent1" w:themeTint="BF"/>
              <w:right w:val="single" w:sz="8" w:space="0" w:color="7BA0CD" w:themeColor="accent1" w:themeTint="BF"/>
            </w:tcBorders>
            <w:noWrap/>
          </w:tcPr>
          <w:p w14:paraId="5A2DF0F6" w14:textId="224CB8E3"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10</w:t>
            </w:r>
          </w:p>
        </w:tc>
        <w:tc>
          <w:tcPr>
            <w:tcW w:w="1260" w:type="dxa"/>
            <w:tcBorders>
              <w:left w:val="single" w:sz="8" w:space="0" w:color="7BA0CD" w:themeColor="accent1" w:themeTint="BF"/>
              <w:right w:val="single" w:sz="8" w:space="0" w:color="7BA0CD" w:themeColor="accent1" w:themeTint="BF"/>
            </w:tcBorders>
            <w:noWrap/>
          </w:tcPr>
          <w:p w14:paraId="2F82046E" w14:textId="463C6D24"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125</w:t>
            </w:r>
          </w:p>
        </w:tc>
        <w:tc>
          <w:tcPr>
            <w:tcW w:w="1260" w:type="dxa"/>
            <w:tcBorders>
              <w:left w:val="single" w:sz="8" w:space="0" w:color="7BA0CD" w:themeColor="accent1" w:themeTint="BF"/>
              <w:right w:val="single" w:sz="8" w:space="0" w:color="7BA0CD" w:themeColor="accent1" w:themeTint="BF"/>
            </w:tcBorders>
            <w:noWrap/>
          </w:tcPr>
          <w:p w14:paraId="29F0BB7E" w14:textId="3DB2443B"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7</w:t>
            </w:r>
          </w:p>
        </w:tc>
        <w:tc>
          <w:tcPr>
            <w:tcW w:w="900" w:type="dxa"/>
            <w:tcBorders>
              <w:left w:val="single" w:sz="8" w:space="0" w:color="7BA0CD" w:themeColor="accent1" w:themeTint="BF"/>
            </w:tcBorders>
            <w:noWrap/>
          </w:tcPr>
          <w:p w14:paraId="135587D9" w14:textId="70E61D11"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(115)</w:t>
            </w:r>
          </w:p>
        </w:tc>
      </w:tr>
      <w:tr w:rsidR="00064FED" w:rsidRPr="005D49D1" w14:paraId="5C226444"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0A1406F9" w14:textId="69E9B89F" w:rsidR="00064FED" w:rsidRPr="001A594D" w:rsidRDefault="00064FED" w:rsidP="00CF4D11">
            <w:pPr>
              <w:pStyle w:val="Tablenormalleft"/>
              <w:keepNext w:val="0"/>
              <w:widowControl w:val="0"/>
              <w:jc w:val="left"/>
            </w:pPr>
            <w:r w:rsidRPr="00785B62">
              <w:t>2001.00</w:t>
            </w:r>
          </w:p>
        </w:tc>
        <w:tc>
          <w:tcPr>
            <w:tcW w:w="4073" w:type="dxa"/>
            <w:tcBorders>
              <w:left w:val="single" w:sz="8" w:space="0" w:color="7BA0CD" w:themeColor="accent1" w:themeTint="BF"/>
              <w:right w:val="single" w:sz="8" w:space="0" w:color="7BA0CD" w:themeColor="accent1" w:themeTint="BF"/>
            </w:tcBorders>
            <w:noWrap/>
          </w:tcPr>
          <w:p w14:paraId="3D5C3EBF" w14:textId="68A8FDA8" w:rsidR="00064FED" w:rsidRPr="001A594D"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785B62">
              <w:t>Psychology, General</w:t>
            </w:r>
          </w:p>
        </w:tc>
        <w:tc>
          <w:tcPr>
            <w:tcW w:w="1080" w:type="dxa"/>
            <w:tcBorders>
              <w:left w:val="single" w:sz="8" w:space="0" w:color="7BA0CD" w:themeColor="accent1" w:themeTint="BF"/>
              <w:right w:val="single" w:sz="8" w:space="0" w:color="7BA0CD" w:themeColor="accent1" w:themeTint="BF"/>
            </w:tcBorders>
            <w:noWrap/>
          </w:tcPr>
          <w:p w14:paraId="16DFF962" w14:textId="50D29EBE"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0</w:t>
            </w:r>
          </w:p>
        </w:tc>
        <w:tc>
          <w:tcPr>
            <w:tcW w:w="1260" w:type="dxa"/>
            <w:tcBorders>
              <w:left w:val="single" w:sz="8" w:space="0" w:color="7BA0CD" w:themeColor="accent1" w:themeTint="BF"/>
              <w:right w:val="single" w:sz="8" w:space="0" w:color="7BA0CD" w:themeColor="accent1" w:themeTint="BF"/>
            </w:tcBorders>
            <w:noWrap/>
          </w:tcPr>
          <w:p w14:paraId="296EEFD5" w14:textId="70E52D84"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117</w:t>
            </w:r>
          </w:p>
        </w:tc>
        <w:tc>
          <w:tcPr>
            <w:tcW w:w="1260" w:type="dxa"/>
            <w:tcBorders>
              <w:left w:val="single" w:sz="8" w:space="0" w:color="7BA0CD" w:themeColor="accent1" w:themeTint="BF"/>
              <w:right w:val="single" w:sz="8" w:space="0" w:color="7BA0CD" w:themeColor="accent1" w:themeTint="BF"/>
            </w:tcBorders>
            <w:noWrap/>
          </w:tcPr>
          <w:p w14:paraId="1FF37FF2" w14:textId="3A930733"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10</w:t>
            </w:r>
          </w:p>
        </w:tc>
        <w:tc>
          <w:tcPr>
            <w:tcW w:w="900" w:type="dxa"/>
            <w:tcBorders>
              <w:left w:val="single" w:sz="8" w:space="0" w:color="7BA0CD" w:themeColor="accent1" w:themeTint="BF"/>
            </w:tcBorders>
            <w:noWrap/>
          </w:tcPr>
          <w:p w14:paraId="5B8017EA" w14:textId="3C7228A0"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(117)</w:t>
            </w:r>
          </w:p>
        </w:tc>
      </w:tr>
      <w:tr w:rsidR="00064FED" w:rsidRPr="005D49D1" w14:paraId="2281F1E7"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34AA1DFD" w14:textId="04897ED8" w:rsidR="00064FED" w:rsidRPr="001A594D" w:rsidRDefault="00064FED" w:rsidP="00CF4D11">
            <w:pPr>
              <w:pStyle w:val="Tablenormalleft"/>
              <w:keepNext w:val="0"/>
              <w:widowControl w:val="0"/>
              <w:jc w:val="left"/>
            </w:pPr>
            <w:r w:rsidRPr="00785B62">
              <w:t>401.00</w:t>
            </w:r>
          </w:p>
        </w:tc>
        <w:tc>
          <w:tcPr>
            <w:tcW w:w="4073" w:type="dxa"/>
            <w:tcBorders>
              <w:left w:val="single" w:sz="8" w:space="0" w:color="7BA0CD" w:themeColor="accent1" w:themeTint="BF"/>
              <w:right w:val="single" w:sz="8" w:space="0" w:color="7BA0CD" w:themeColor="accent1" w:themeTint="BF"/>
            </w:tcBorders>
            <w:noWrap/>
          </w:tcPr>
          <w:p w14:paraId="7D4D3BD0" w14:textId="412F8F24" w:rsidR="00064FED" w:rsidRPr="001A594D"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785B62">
              <w:t>Biology, General</w:t>
            </w:r>
          </w:p>
        </w:tc>
        <w:tc>
          <w:tcPr>
            <w:tcW w:w="1080" w:type="dxa"/>
            <w:tcBorders>
              <w:left w:val="single" w:sz="8" w:space="0" w:color="7BA0CD" w:themeColor="accent1" w:themeTint="BF"/>
              <w:right w:val="single" w:sz="8" w:space="0" w:color="7BA0CD" w:themeColor="accent1" w:themeTint="BF"/>
            </w:tcBorders>
            <w:noWrap/>
          </w:tcPr>
          <w:p w14:paraId="16FC90A7" w14:textId="235EC57E"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w:t>
            </w:r>
          </w:p>
        </w:tc>
        <w:tc>
          <w:tcPr>
            <w:tcW w:w="1260" w:type="dxa"/>
            <w:tcBorders>
              <w:left w:val="single" w:sz="8" w:space="0" w:color="7BA0CD" w:themeColor="accent1" w:themeTint="BF"/>
              <w:right w:val="single" w:sz="8" w:space="0" w:color="7BA0CD" w:themeColor="accent1" w:themeTint="BF"/>
            </w:tcBorders>
            <w:noWrap/>
          </w:tcPr>
          <w:p w14:paraId="72461455" w14:textId="5EE5E724"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163</w:t>
            </w:r>
          </w:p>
        </w:tc>
        <w:tc>
          <w:tcPr>
            <w:tcW w:w="1260" w:type="dxa"/>
            <w:tcBorders>
              <w:left w:val="single" w:sz="8" w:space="0" w:color="7BA0CD" w:themeColor="accent1" w:themeTint="BF"/>
              <w:right w:val="single" w:sz="8" w:space="0" w:color="7BA0CD" w:themeColor="accent1" w:themeTint="BF"/>
            </w:tcBorders>
            <w:noWrap/>
          </w:tcPr>
          <w:p w14:paraId="0586ED87" w14:textId="42253396"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88</w:t>
            </w:r>
          </w:p>
        </w:tc>
        <w:tc>
          <w:tcPr>
            <w:tcW w:w="900" w:type="dxa"/>
            <w:tcBorders>
              <w:left w:val="single" w:sz="8" w:space="0" w:color="7BA0CD" w:themeColor="accent1" w:themeTint="BF"/>
            </w:tcBorders>
            <w:noWrap/>
          </w:tcPr>
          <w:p w14:paraId="2453160F" w14:textId="2AC140D8"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(162)</w:t>
            </w:r>
          </w:p>
        </w:tc>
      </w:tr>
      <w:tr w:rsidR="00064FED" w:rsidRPr="005D49D1" w14:paraId="0EE49B85"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033DDBDA" w14:textId="29E07947" w:rsidR="00064FED" w:rsidRPr="001A594D" w:rsidRDefault="00064FED" w:rsidP="00CF4D11">
            <w:pPr>
              <w:pStyle w:val="Tablenormalleft"/>
              <w:keepNext w:val="0"/>
              <w:widowControl w:val="0"/>
              <w:jc w:val="left"/>
            </w:pPr>
            <w:r w:rsidRPr="00785B62">
              <w:t>2105.00</w:t>
            </w:r>
          </w:p>
        </w:tc>
        <w:tc>
          <w:tcPr>
            <w:tcW w:w="4073" w:type="dxa"/>
            <w:tcBorders>
              <w:left w:val="single" w:sz="8" w:space="0" w:color="7BA0CD" w:themeColor="accent1" w:themeTint="BF"/>
              <w:right w:val="single" w:sz="8" w:space="0" w:color="7BA0CD" w:themeColor="accent1" w:themeTint="BF"/>
            </w:tcBorders>
            <w:noWrap/>
          </w:tcPr>
          <w:p w14:paraId="7727ECD8" w14:textId="4C8573ED" w:rsidR="00064FED" w:rsidRPr="001A594D"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785B62">
              <w:t>Administration of Justice</w:t>
            </w:r>
          </w:p>
        </w:tc>
        <w:tc>
          <w:tcPr>
            <w:tcW w:w="1080" w:type="dxa"/>
            <w:tcBorders>
              <w:left w:val="single" w:sz="8" w:space="0" w:color="7BA0CD" w:themeColor="accent1" w:themeTint="BF"/>
              <w:right w:val="single" w:sz="8" w:space="0" w:color="7BA0CD" w:themeColor="accent1" w:themeTint="BF"/>
            </w:tcBorders>
            <w:noWrap/>
          </w:tcPr>
          <w:p w14:paraId="51B61295" w14:textId="11615B50"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24</w:t>
            </w:r>
          </w:p>
        </w:tc>
        <w:tc>
          <w:tcPr>
            <w:tcW w:w="1260" w:type="dxa"/>
            <w:tcBorders>
              <w:left w:val="single" w:sz="8" w:space="0" w:color="7BA0CD" w:themeColor="accent1" w:themeTint="BF"/>
              <w:right w:val="single" w:sz="8" w:space="0" w:color="7BA0CD" w:themeColor="accent1" w:themeTint="BF"/>
            </w:tcBorders>
            <w:noWrap/>
          </w:tcPr>
          <w:p w14:paraId="50F3AF20" w14:textId="061E36BA"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200</w:t>
            </w:r>
          </w:p>
        </w:tc>
        <w:tc>
          <w:tcPr>
            <w:tcW w:w="1260" w:type="dxa"/>
            <w:tcBorders>
              <w:left w:val="single" w:sz="8" w:space="0" w:color="7BA0CD" w:themeColor="accent1" w:themeTint="BF"/>
              <w:right w:val="single" w:sz="8" w:space="0" w:color="7BA0CD" w:themeColor="accent1" w:themeTint="BF"/>
            </w:tcBorders>
            <w:noWrap/>
          </w:tcPr>
          <w:p w14:paraId="2F924607" w14:textId="61828A11"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3</w:t>
            </w:r>
          </w:p>
        </w:tc>
        <w:tc>
          <w:tcPr>
            <w:tcW w:w="900" w:type="dxa"/>
            <w:tcBorders>
              <w:left w:val="single" w:sz="8" w:space="0" w:color="7BA0CD" w:themeColor="accent1" w:themeTint="BF"/>
            </w:tcBorders>
            <w:noWrap/>
          </w:tcPr>
          <w:p w14:paraId="1995477F" w14:textId="2296602C"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(176)</w:t>
            </w:r>
          </w:p>
        </w:tc>
      </w:tr>
      <w:tr w:rsidR="00064FED" w:rsidRPr="005D49D1" w14:paraId="07EB139D" w14:textId="77777777" w:rsidTr="002C5EA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5D1B7108" w14:textId="1F057392" w:rsidR="00064FED" w:rsidRPr="001A594D" w:rsidRDefault="00064FED" w:rsidP="00CF4D11">
            <w:pPr>
              <w:pStyle w:val="Tablenormalleft"/>
              <w:keepNext w:val="0"/>
              <w:widowControl w:val="0"/>
              <w:jc w:val="left"/>
            </w:pPr>
            <w:r w:rsidRPr="00785B62">
              <w:t>2201.00</w:t>
            </w:r>
          </w:p>
        </w:tc>
        <w:tc>
          <w:tcPr>
            <w:tcW w:w="4073" w:type="dxa"/>
            <w:tcBorders>
              <w:left w:val="single" w:sz="8" w:space="0" w:color="7BA0CD" w:themeColor="accent1" w:themeTint="BF"/>
              <w:right w:val="single" w:sz="8" w:space="0" w:color="7BA0CD" w:themeColor="accent1" w:themeTint="BF"/>
            </w:tcBorders>
            <w:noWrap/>
          </w:tcPr>
          <w:p w14:paraId="00CC2E21" w14:textId="4982C9D8" w:rsidR="00064FED" w:rsidRPr="001A594D" w:rsidRDefault="00064FED" w:rsidP="00CF4D11">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785B62">
              <w:t>Social Sciences, General</w:t>
            </w:r>
          </w:p>
        </w:tc>
        <w:tc>
          <w:tcPr>
            <w:tcW w:w="1080" w:type="dxa"/>
            <w:tcBorders>
              <w:left w:val="single" w:sz="8" w:space="0" w:color="7BA0CD" w:themeColor="accent1" w:themeTint="BF"/>
              <w:right w:val="single" w:sz="8" w:space="0" w:color="7BA0CD" w:themeColor="accent1" w:themeTint="BF"/>
            </w:tcBorders>
            <w:noWrap/>
          </w:tcPr>
          <w:p w14:paraId="341262E2" w14:textId="7057B56F"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1</w:t>
            </w:r>
          </w:p>
        </w:tc>
        <w:tc>
          <w:tcPr>
            <w:tcW w:w="1260" w:type="dxa"/>
            <w:tcBorders>
              <w:left w:val="single" w:sz="8" w:space="0" w:color="7BA0CD" w:themeColor="accent1" w:themeTint="BF"/>
              <w:right w:val="single" w:sz="8" w:space="0" w:color="7BA0CD" w:themeColor="accent1" w:themeTint="BF"/>
            </w:tcBorders>
            <w:noWrap/>
          </w:tcPr>
          <w:p w14:paraId="4068491A" w14:textId="5A32D204"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246</w:t>
            </w:r>
          </w:p>
        </w:tc>
        <w:tc>
          <w:tcPr>
            <w:tcW w:w="1260" w:type="dxa"/>
            <w:tcBorders>
              <w:left w:val="single" w:sz="8" w:space="0" w:color="7BA0CD" w:themeColor="accent1" w:themeTint="BF"/>
              <w:right w:val="single" w:sz="8" w:space="0" w:color="7BA0CD" w:themeColor="accent1" w:themeTint="BF"/>
            </w:tcBorders>
            <w:noWrap/>
          </w:tcPr>
          <w:p w14:paraId="7BC936FB" w14:textId="72EC78B1"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40</w:t>
            </w:r>
          </w:p>
        </w:tc>
        <w:tc>
          <w:tcPr>
            <w:tcW w:w="900" w:type="dxa"/>
            <w:tcBorders>
              <w:left w:val="single" w:sz="8" w:space="0" w:color="7BA0CD" w:themeColor="accent1" w:themeTint="BF"/>
            </w:tcBorders>
            <w:noWrap/>
          </w:tcPr>
          <w:p w14:paraId="714F3D2E" w14:textId="2C85A4ED" w:rsidR="00064FED" w:rsidRPr="001A594D" w:rsidRDefault="00064FED" w:rsidP="00CF4D1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785B62">
              <w:t>(244)</w:t>
            </w:r>
          </w:p>
        </w:tc>
      </w:tr>
      <w:tr w:rsidR="00064FED" w:rsidRPr="005D49D1" w14:paraId="4A1FF8A8" w14:textId="77777777" w:rsidTr="002C5E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 w:type="dxa"/>
            <w:tcBorders>
              <w:right w:val="single" w:sz="8" w:space="0" w:color="7BA0CD" w:themeColor="accent1" w:themeTint="BF"/>
            </w:tcBorders>
            <w:noWrap/>
          </w:tcPr>
          <w:p w14:paraId="3C3F9DE9" w14:textId="20EEFFC3" w:rsidR="00064FED" w:rsidRPr="001A594D" w:rsidRDefault="00064FED" w:rsidP="00CF4D11">
            <w:pPr>
              <w:pStyle w:val="Tablenormalleft"/>
              <w:keepNext w:val="0"/>
              <w:widowControl w:val="0"/>
              <w:jc w:val="left"/>
            </w:pPr>
            <w:r w:rsidRPr="00785B62">
              <w:t>1230.00</w:t>
            </w:r>
          </w:p>
        </w:tc>
        <w:tc>
          <w:tcPr>
            <w:tcW w:w="4073" w:type="dxa"/>
            <w:tcBorders>
              <w:left w:val="single" w:sz="8" w:space="0" w:color="7BA0CD" w:themeColor="accent1" w:themeTint="BF"/>
              <w:right w:val="single" w:sz="8" w:space="0" w:color="7BA0CD" w:themeColor="accent1" w:themeTint="BF"/>
            </w:tcBorders>
            <w:noWrap/>
          </w:tcPr>
          <w:p w14:paraId="6F99DA38" w14:textId="45D3F397" w:rsidR="00064FED" w:rsidRPr="001A594D" w:rsidRDefault="00064FED" w:rsidP="00CF4D11">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785B62">
              <w:t>Nursing</w:t>
            </w:r>
          </w:p>
        </w:tc>
        <w:tc>
          <w:tcPr>
            <w:tcW w:w="1080" w:type="dxa"/>
            <w:tcBorders>
              <w:left w:val="single" w:sz="8" w:space="0" w:color="7BA0CD" w:themeColor="accent1" w:themeTint="BF"/>
              <w:right w:val="single" w:sz="8" w:space="0" w:color="7BA0CD" w:themeColor="accent1" w:themeTint="BF"/>
            </w:tcBorders>
            <w:noWrap/>
          </w:tcPr>
          <w:p w14:paraId="7C5589BB" w14:textId="581F8281"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181</w:t>
            </w:r>
          </w:p>
        </w:tc>
        <w:tc>
          <w:tcPr>
            <w:tcW w:w="1260" w:type="dxa"/>
            <w:tcBorders>
              <w:left w:val="single" w:sz="8" w:space="0" w:color="7BA0CD" w:themeColor="accent1" w:themeTint="BF"/>
              <w:right w:val="single" w:sz="8" w:space="0" w:color="7BA0CD" w:themeColor="accent1" w:themeTint="BF"/>
            </w:tcBorders>
            <w:noWrap/>
          </w:tcPr>
          <w:p w14:paraId="7891C0A5" w14:textId="307A3B02"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621</w:t>
            </w:r>
          </w:p>
        </w:tc>
        <w:tc>
          <w:tcPr>
            <w:tcW w:w="1260" w:type="dxa"/>
            <w:tcBorders>
              <w:left w:val="single" w:sz="8" w:space="0" w:color="7BA0CD" w:themeColor="accent1" w:themeTint="BF"/>
              <w:right w:val="single" w:sz="8" w:space="0" w:color="7BA0CD" w:themeColor="accent1" w:themeTint="BF"/>
            </w:tcBorders>
            <w:noWrap/>
          </w:tcPr>
          <w:p w14:paraId="0A986192" w14:textId="35202CD5"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7</w:t>
            </w:r>
          </w:p>
        </w:tc>
        <w:tc>
          <w:tcPr>
            <w:tcW w:w="900" w:type="dxa"/>
            <w:tcBorders>
              <w:left w:val="single" w:sz="8" w:space="0" w:color="7BA0CD" w:themeColor="accent1" w:themeTint="BF"/>
            </w:tcBorders>
            <w:noWrap/>
          </w:tcPr>
          <w:p w14:paraId="12E3D99C" w14:textId="67CBB03E" w:rsidR="00064FED" w:rsidRPr="001A594D" w:rsidRDefault="00064FED" w:rsidP="00CF4D1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785B62">
              <w:t>(441)</w:t>
            </w:r>
          </w:p>
        </w:tc>
      </w:tr>
    </w:tbl>
    <w:p w14:paraId="297A9621" w14:textId="77777777" w:rsidR="00641562" w:rsidRDefault="00641562" w:rsidP="00641562">
      <w:pPr>
        <w:rPr>
          <w:rFonts w:asciiTheme="minorHAnsi" w:hAnsiTheme="minorHAnsi" w:cstheme="minorHAnsi"/>
          <w:sz w:val="22"/>
          <w:szCs w:val="22"/>
        </w:rPr>
      </w:pPr>
    </w:p>
    <w:p w14:paraId="5EDE32AC" w14:textId="77777777" w:rsidR="00641562" w:rsidRPr="00A638AA" w:rsidRDefault="00641562" w:rsidP="00641562">
      <w:pPr>
        <w:pStyle w:val="Heading1"/>
      </w:pPr>
      <w:bookmarkStart w:id="39" w:name="_Toc428785431"/>
      <w:r>
        <w:t>Appendix 5</w:t>
      </w:r>
      <w:r w:rsidRPr="00A638AA">
        <w:t>: Detailed Employment Projections</w:t>
      </w:r>
      <w:bookmarkEnd w:id="29"/>
      <w:bookmarkEnd w:id="39"/>
    </w:p>
    <w:p w14:paraId="0D4AE3A7" w14:textId="08AF24E6" w:rsidR="00641562" w:rsidRDefault="00641562" w:rsidP="00641562">
      <w:r>
        <w:t xml:space="preserve">Table A5.1 displays the occupations that align with one or more of </w:t>
      </w:r>
      <w:r w:rsidR="006C38C7">
        <w:t>CCC</w:t>
      </w:r>
      <w:r>
        <w:t xml:space="preserve">’s educational programs. The programs with which they align can be found in Table A2.1. Table A5.2 displays the occupations that align with one or more of the programs discussed in the analysis of </w:t>
      </w:r>
      <w:r w:rsidR="005F4E2C">
        <w:t>potential new programs (Tables 2.3</w:t>
      </w:r>
      <w:r>
        <w:t>). Note that if an occupat</w:t>
      </w:r>
      <w:r w:rsidR="00860E9A">
        <w:t>ion appears in Table A5.1 it is usually not</w:t>
      </w:r>
      <w:r>
        <w:t xml:space="preserve"> included in Table A5.2.</w:t>
      </w:r>
    </w:p>
    <w:tbl>
      <w:tblPr>
        <w:tblStyle w:val="MediumShading1-Accent1"/>
        <w:tblW w:w="9504" w:type="dxa"/>
        <w:tblBorders>
          <w:left w:val="none" w:sz="0" w:space="0" w:color="auto"/>
          <w:right w:val="none" w:sz="0" w:space="0" w:color="auto"/>
          <w:insideH w:val="none" w:sz="0" w:space="0" w:color="auto"/>
        </w:tblBorders>
        <w:tblLook w:val="04A0" w:firstRow="1" w:lastRow="0" w:firstColumn="1" w:lastColumn="0" w:noHBand="0" w:noVBand="1"/>
      </w:tblPr>
      <w:tblGrid>
        <w:gridCol w:w="970"/>
        <w:gridCol w:w="3751"/>
        <w:gridCol w:w="896"/>
        <w:gridCol w:w="883"/>
        <w:gridCol w:w="890"/>
        <w:gridCol w:w="1084"/>
        <w:gridCol w:w="1102"/>
      </w:tblGrid>
      <w:tr w:rsidR="00641562" w:rsidRPr="000C18BD" w14:paraId="28D17E16" w14:textId="77777777" w:rsidTr="00FC3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gridSpan w:val="7"/>
            <w:tcBorders>
              <w:top w:val="nil"/>
              <w:left w:val="nil"/>
              <w:right w:val="nil"/>
            </w:tcBorders>
            <w:shd w:val="clear" w:color="auto" w:fill="auto"/>
            <w:noWrap/>
            <w:vAlign w:val="bottom"/>
          </w:tcPr>
          <w:p w14:paraId="0D0C381E" w14:textId="77777777" w:rsidR="00641562" w:rsidRPr="008D098C" w:rsidRDefault="00641562" w:rsidP="008D098C">
            <w:pPr>
              <w:pStyle w:val="Tabletitle"/>
              <w:rPr>
                <w:b/>
              </w:rPr>
            </w:pPr>
            <w:r w:rsidRPr="008D098C">
              <w:rPr>
                <w:b/>
              </w:rPr>
              <w:t>Table A5.1: Detailed Employment Projections Related to Existing Programs</w:t>
            </w:r>
          </w:p>
        </w:tc>
      </w:tr>
      <w:tr w:rsidR="00641562" w:rsidRPr="000C18BD" w14:paraId="067093F6" w14:textId="77777777" w:rsidTr="0019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4F81BD" w:themeFill="accent1"/>
            <w:noWrap/>
            <w:vAlign w:val="center"/>
          </w:tcPr>
          <w:p w14:paraId="07DEEBC3" w14:textId="77777777" w:rsidR="00641562" w:rsidRPr="000C18BD" w:rsidRDefault="00641562" w:rsidP="00193BE7">
            <w:pPr>
              <w:pStyle w:val="Tableheaderleft"/>
              <w:keepNext w:val="0"/>
              <w:widowControl w:val="0"/>
              <w:jc w:val="center"/>
            </w:pPr>
            <w:r w:rsidRPr="000C18BD">
              <w:t>SOC</w:t>
            </w:r>
          </w:p>
        </w:tc>
        <w:tc>
          <w:tcPr>
            <w:tcW w:w="3806" w:type="dxa"/>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4F81BD" w:themeFill="accent1"/>
            <w:noWrap/>
            <w:vAlign w:val="center"/>
          </w:tcPr>
          <w:p w14:paraId="0E073C2F" w14:textId="77777777" w:rsidR="00641562" w:rsidRPr="000C18BD" w:rsidRDefault="00641562" w:rsidP="00193BE7">
            <w:pPr>
              <w:pStyle w:val="Tableheaderleft"/>
              <w:keepNext w:val="0"/>
              <w:widowControl w:val="0"/>
              <w:jc w:val="center"/>
              <w:cnfStyle w:val="000000100000" w:firstRow="0" w:lastRow="0" w:firstColumn="0" w:lastColumn="0" w:oddVBand="0" w:evenVBand="0" w:oddHBand="1" w:evenHBand="0" w:firstRowFirstColumn="0" w:firstRowLastColumn="0" w:lastRowFirstColumn="0" w:lastRowLastColumn="0"/>
            </w:pPr>
            <w:r w:rsidRPr="000C18BD">
              <w:t>Occupation</w:t>
            </w:r>
          </w:p>
        </w:tc>
        <w:tc>
          <w:tcPr>
            <w:tcW w:w="907" w:type="dxa"/>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4F81BD" w:themeFill="accent1"/>
            <w:noWrap/>
            <w:vAlign w:val="center"/>
          </w:tcPr>
          <w:p w14:paraId="469C8E39" w14:textId="146AD089" w:rsidR="00641562" w:rsidRPr="00925FAB" w:rsidRDefault="008B0385" w:rsidP="00193BE7">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t>2014</w:t>
            </w:r>
            <w:r w:rsidR="00641562" w:rsidRPr="00925FAB">
              <w:t xml:space="preserve"> Jobs</w:t>
            </w:r>
          </w:p>
        </w:tc>
        <w:tc>
          <w:tcPr>
            <w:tcW w:w="893" w:type="dxa"/>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4F81BD" w:themeFill="accent1"/>
            <w:noWrap/>
            <w:vAlign w:val="center"/>
          </w:tcPr>
          <w:p w14:paraId="7F08EE8E" w14:textId="5790D134" w:rsidR="00641562" w:rsidRPr="00925FAB" w:rsidRDefault="00193BE7" w:rsidP="00193BE7">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t>2019</w:t>
            </w:r>
            <w:r w:rsidR="00641562" w:rsidRPr="00925FAB">
              <w:t xml:space="preserve"> Jobs</w:t>
            </w:r>
          </w:p>
        </w:tc>
        <w:tc>
          <w:tcPr>
            <w:tcW w:w="900" w:type="dxa"/>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4F81BD" w:themeFill="accent1"/>
            <w:noWrap/>
            <w:vAlign w:val="center"/>
          </w:tcPr>
          <w:p w14:paraId="14B4B33A" w14:textId="77777777" w:rsidR="00641562" w:rsidRPr="00925FAB" w:rsidRDefault="00641562" w:rsidP="00193BE7">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rsidRPr="00925FAB">
              <w:t>Change</w:t>
            </w:r>
          </w:p>
        </w:tc>
        <w:tc>
          <w:tcPr>
            <w:tcW w:w="900" w:type="dxa"/>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4F81BD" w:themeFill="accent1"/>
            <w:noWrap/>
            <w:vAlign w:val="center"/>
          </w:tcPr>
          <w:p w14:paraId="734C7249" w14:textId="789B3134" w:rsidR="00641562" w:rsidRPr="00925FAB" w:rsidRDefault="00641562" w:rsidP="00193BE7">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rsidRPr="00925FAB">
              <w:t>Pe</w:t>
            </w:r>
            <w:r w:rsidR="006C38C7">
              <w:t>CCC</w:t>
            </w:r>
            <w:r w:rsidRPr="00925FAB">
              <w:t>ent Change</w:t>
            </w:r>
          </w:p>
        </w:tc>
        <w:tc>
          <w:tcPr>
            <w:tcW w:w="1116" w:type="dxa"/>
            <w:tcBorders>
              <w:top w:val="single" w:sz="8" w:space="0" w:color="7BA0CD" w:themeColor="accent1" w:themeTint="BF"/>
              <w:left w:val="single" w:sz="8" w:space="0" w:color="7BA0CD" w:themeColor="accent1" w:themeTint="BF"/>
              <w:bottom w:val="nil"/>
              <w:right w:val="single" w:sz="8" w:space="0" w:color="7BA0CD" w:themeColor="accent1" w:themeTint="BF"/>
            </w:tcBorders>
            <w:shd w:val="clear" w:color="auto" w:fill="4F81BD" w:themeFill="accent1"/>
            <w:noWrap/>
            <w:vAlign w:val="center"/>
          </w:tcPr>
          <w:p w14:paraId="56C95FE4" w14:textId="77777777" w:rsidR="00641562" w:rsidRPr="00925FAB" w:rsidRDefault="00641562" w:rsidP="00193BE7">
            <w:pPr>
              <w:pStyle w:val="Tableheadercenter"/>
              <w:keepNext w:val="0"/>
              <w:widowControl w:val="0"/>
              <w:cnfStyle w:val="000000100000" w:firstRow="0" w:lastRow="0" w:firstColumn="0" w:lastColumn="0" w:oddVBand="0" w:evenVBand="0" w:oddHBand="1" w:evenHBand="0" w:firstRowFirstColumn="0" w:firstRowLastColumn="0" w:lastRowFirstColumn="0" w:lastRowLastColumn="0"/>
            </w:pPr>
            <w:r w:rsidRPr="00925FAB">
              <w:t>Projected Annual Openings</w:t>
            </w:r>
          </w:p>
        </w:tc>
      </w:tr>
      <w:tr w:rsidR="00064FED" w:rsidRPr="000C18BD" w14:paraId="684175AE"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nil"/>
              <w:left w:val="single" w:sz="8" w:space="0" w:color="7BA0CD" w:themeColor="accent1" w:themeTint="BF"/>
              <w:bottom w:val="single" w:sz="8" w:space="0" w:color="7BA0CD" w:themeColor="accent1" w:themeTint="BF"/>
              <w:right w:val="single" w:sz="8" w:space="0" w:color="7BA0CD" w:themeColor="accent1" w:themeTint="BF"/>
            </w:tcBorders>
            <w:noWrap/>
            <w:hideMark/>
          </w:tcPr>
          <w:p w14:paraId="27E8E796" w14:textId="75BC4B3F" w:rsidR="00064FED" w:rsidRPr="00D77C12" w:rsidRDefault="00064FED" w:rsidP="00FC3473">
            <w:pPr>
              <w:pStyle w:val="Tablenormalleft"/>
              <w:keepNext w:val="0"/>
              <w:widowControl w:val="0"/>
              <w:jc w:val="left"/>
              <w:rPr>
                <w:szCs w:val="18"/>
              </w:rPr>
            </w:pPr>
            <w:r w:rsidRPr="00BF6871">
              <w:t>11-1011</w:t>
            </w:r>
          </w:p>
        </w:tc>
        <w:tc>
          <w:tcPr>
            <w:tcW w:w="3806" w:type="dxa"/>
            <w:tcBorders>
              <w:top w:val="nil"/>
              <w:left w:val="single" w:sz="8" w:space="0" w:color="7BA0CD" w:themeColor="accent1" w:themeTint="BF"/>
              <w:bottom w:val="single" w:sz="8" w:space="0" w:color="7BA0CD" w:themeColor="accent1" w:themeTint="BF"/>
              <w:right w:val="single" w:sz="8" w:space="0" w:color="7BA0CD" w:themeColor="accent1" w:themeTint="BF"/>
            </w:tcBorders>
            <w:noWrap/>
            <w:hideMark/>
          </w:tcPr>
          <w:p w14:paraId="2D092735" w14:textId="2D6A542D"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Chief Executives</w:t>
            </w:r>
          </w:p>
        </w:tc>
        <w:tc>
          <w:tcPr>
            <w:tcW w:w="907" w:type="dxa"/>
            <w:tcBorders>
              <w:top w:val="nil"/>
              <w:left w:val="single" w:sz="8" w:space="0" w:color="7BA0CD" w:themeColor="accent1" w:themeTint="BF"/>
              <w:bottom w:val="single" w:sz="8" w:space="0" w:color="7BA0CD" w:themeColor="accent1" w:themeTint="BF"/>
              <w:right w:val="single" w:sz="8" w:space="0" w:color="7BA0CD" w:themeColor="accent1" w:themeTint="BF"/>
            </w:tcBorders>
            <w:noWrap/>
            <w:hideMark/>
          </w:tcPr>
          <w:p w14:paraId="5331DB31" w14:textId="2D2B5BA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1,008 </w:t>
            </w:r>
          </w:p>
        </w:tc>
        <w:tc>
          <w:tcPr>
            <w:tcW w:w="893" w:type="dxa"/>
            <w:tcBorders>
              <w:top w:val="nil"/>
              <w:left w:val="single" w:sz="8" w:space="0" w:color="7BA0CD" w:themeColor="accent1" w:themeTint="BF"/>
              <w:bottom w:val="single" w:sz="8" w:space="0" w:color="7BA0CD" w:themeColor="accent1" w:themeTint="BF"/>
              <w:right w:val="single" w:sz="8" w:space="0" w:color="7BA0CD" w:themeColor="accent1" w:themeTint="BF"/>
            </w:tcBorders>
            <w:noWrap/>
            <w:hideMark/>
          </w:tcPr>
          <w:p w14:paraId="3AB2D6D2" w14:textId="77B4E4D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1,039 </w:t>
            </w:r>
          </w:p>
        </w:tc>
        <w:tc>
          <w:tcPr>
            <w:tcW w:w="900" w:type="dxa"/>
            <w:tcBorders>
              <w:top w:val="nil"/>
              <w:left w:val="single" w:sz="8" w:space="0" w:color="7BA0CD" w:themeColor="accent1" w:themeTint="BF"/>
              <w:bottom w:val="single" w:sz="8" w:space="0" w:color="7BA0CD" w:themeColor="accent1" w:themeTint="BF"/>
              <w:right w:val="single" w:sz="8" w:space="0" w:color="7BA0CD" w:themeColor="accent1" w:themeTint="BF"/>
            </w:tcBorders>
            <w:noWrap/>
            <w:hideMark/>
          </w:tcPr>
          <w:p w14:paraId="79E7FEF7" w14:textId="7BC8D37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31 </w:t>
            </w:r>
          </w:p>
        </w:tc>
        <w:tc>
          <w:tcPr>
            <w:tcW w:w="900" w:type="dxa"/>
            <w:tcBorders>
              <w:top w:val="nil"/>
              <w:left w:val="single" w:sz="8" w:space="0" w:color="7BA0CD" w:themeColor="accent1" w:themeTint="BF"/>
              <w:bottom w:val="single" w:sz="8" w:space="0" w:color="7BA0CD" w:themeColor="accent1" w:themeTint="BF"/>
              <w:right w:val="single" w:sz="8" w:space="0" w:color="7BA0CD" w:themeColor="accent1" w:themeTint="BF"/>
            </w:tcBorders>
            <w:noWrap/>
            <w:hideMark/>
          </w:tcPr>
          <w:p w14:paraId="542D5146" w14:textId="61E661D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3%</w:t>
            </w:r>
          </w:p>
        </w:tc>
        <w:tc>
          <w:tcPr>
            <w:tcW w:w="1116" w:type="dxa"/>
            <w:tcBorders>
              <w:top w:val="nil"/>
              <w:left w:val="single" w:sz="8" w:space="0" w:color="7BA0CD" w:themeColor="accent1" w:themeTint="BF"/>
              <w:bottom w:val="single" w:sz="8" w:space="0" w:color="7BA0CD" w:themeColor="accent1" w:themeTint="BF"/>
              <w:right w:val="single" w:sz="8" w:space="0" w:color="7BA0CD" w:themeColor="accent1" w:themeTint="BF"/>
            </w:tcBorders>
            <w:noWrap/>
            <w:hideMark/>
          </w:tcPr>
          <w:p w14:paraId="6993DAE5" w14:textId="7FC5F25D"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30</w:t>
            </w:r>
          </w:p>
        </w:tc>
      </w:tr>
      <w:tr w:rsidR="00064FED" w:rsidRPr="000C18BD" w14:paraId="3316C3D5"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24C8308" w14:textId="77C6EDDD" w:rsidR="00064FED" w:rsidRPr="00D77C12" w:rsidRDefault="00064FED" w:rsidP="00FC3473">
            <w:pPr>
              <w:pStyle w:val="Tablenormalleft"/>
              <w:keepNext w:val="0"/>
              <w:widowControl w:val="0"/>
              <w:jc w:val="left"/>
              <w:rPr>
                <w:szCs w:val="18"/>
              </w:rPr>
            </w:pPr>
            <w:r w:rsidRPr="00BF6871">
              <w:t>11-1021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4B962F" w14:textId="0CF3B9CE"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General and Operations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ACD5F78" w14:textId="11D80D4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7,708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3D442A0" w14:textId="10AE316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8,225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10CF1A2" w14:textId="7C9D136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517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89E90EB" w14:textId="1B307A9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62A62A2" w14:textId="39F6A1C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255</w:t>
            </w:r>
          </w:p>
        </w:tc>
      </w:tr>
      <w:tr w:rsidR="00064FED" w:rsidRPr="000C18BD" w14:paraId="2FAA0914"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B639A33" w14:textId="73907ED9" w:rsidR="00064FED" w:rsidRPr="00D77C12" w:rsidRDefault="00064FED" w:rsidP="00FC3473">
            <w:pPr>
              <w:pStyle w:val="Tablenormalleft"/>
              <w:keepNext w:val="0"/>
              <w:widowControl w:val="0"/>
              <w:jc w:val="left"/>
              <w:rPr>
                <w:szCs w:val="18"/>
              </w:rPr>
            </w:pPr>
            <w:r w:rsidRPr="00BF6871">
              <w:t>11-2022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71F4583" w14:textId="2598236C"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Sales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5BA61CB" w14:textId="325A02D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1,544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A469338" w14:textId="181B8BC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1,610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08AA974" w14:textId="39590A4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66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293A660" w14:textId="3F34D64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562858C" w14:textId="472F435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47</w:t>
            </w:r>
          </w:p>
        </w:tc>
      </w:tr>
      <w:tr w:rsidR="00064FED" w:rsidRPr="000C18BD" w14:paraId="657A7B19"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92B071A" w14:textId="233424FE" w:rsidR="00064FED" w:rsidRPr="00D77C12" w:rsidRDefault="00064FED" w:rsidP="00FC3473">
            <w:pPr>
              <w:pStyle w:val="Tablenormalleft"/>
              <w:keepNext w:val="0"/>
              <w:widowControl w:val="0"/>
              <w:jc w:val="left"/>
              <w:rPr>
                <w:szCs w:val="18"/>
              </w:rPr>
            </w:pPr>
            <w:r w:rsidRPr="00BF6871">
              <w:t>11-3011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2BC4B2E" w14:textId="08C23C5E"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Administrative Services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9D22A4" w14:textId="7901671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1,045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346BBE0" w14:textId="57ECF0B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1,118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BA27975" w14:textId="038BE3E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73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31A6BBA" w14:textId="7575638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7A3798A" w14:textId="0F4448E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32</w:t>
            </w:r>
          </w:p>
        </w:tc>
      </w:tr>
      <w:tr w:rsidR="00064FED" w:rsidRPr="000C18BD" w14:paraId="52040426"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6D1515D" w14:textId="7A1D333B" w:rsidR="00064FED" w:rsidRPr="00D77C12" w:rsidRDefault="00064FED" w:rsidP="00FC3473">
            <w:pPr>
              <w:pStyle w:val="Tablenormalleft"/>
              <w:keepNext w:val="0"/>
              <w:widowControl w:val="0"/>
              <w:jc w:val="left"/>
              <w:rPr>
                <w:szCs w:val="18"/>
              </w:rPr>
            </w:pPr>
            <w:r w:rsidRPr="00BF6871">
              <w:t>11-3021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72B2A1C" w14:textId="2B02D6DD"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Computer and Information Systems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DFB5F65" w14:textId="5456E09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434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F877CC3" w14:textId="447DF1E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473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BC9FADD" w14:textId="25A8597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39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EA9C8B3" w14:textId="461D4C2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9%</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28561C2" w14:textId="475B82C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14</w:t>
            </w:r>
          </w:p>
        </w:tc>
      </w:tr>
      <w:tr w:rsidR="00064FED" w:rsidRPr="000C18BD" w14:paraId="17934C10"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F201A3E" w14:textId="117B1FD7" w:rsidR="00064FED" w:rsidRPr="00D77C12" w:rsidRDefault="00064FED" w:rsidP="00FC3473">
            <w:pPr>
              <w:pStyle w:val="Tablenormalleft"/>
              <w:keepNext w:val="0"/>
              <w:widowControl w:val="0"/>
              <w:jc w:val="left"/>
              <w:rPr>
                <w:szCs w:val="18"/>
              </w:rPr>
            </w:pPr>
            <w:r w:rsidRPr="00BF6871">
              <w:t>11-3051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D9BB7B5" w14:textId="697132EE"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Industrial Production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9E365E9" w14:textId="5F198C9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805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3C9563E" w14:textId="2EAA176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817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DFE3DA6" w14:textId="67C26E5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D8FDAD4" w14:textId="5051F1A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2CAC277" w14:textId="7FCBAE2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19</w:t>
            </w:r>
          </w:p>
        </w:tc>
      </w:tr>
      <w:tr w:rsidR="00064FED" w:rsidRPr="000C18BD" w14:paraId="52F7FC54"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8D9CCD2" w14:textId="315D0AFA" w:rsidR="00064FED" w:rsidRPr="00D77C12" w:rsidRDefault="00064FED" w:rsidP="00FC3473">
            <w:pPr>
              <w:pStyle w:val="Tablenormalleft"/>
              <w:keepNext w:val="0"/>
              <w:widowControl w:val="0"/>
              <w:jc w:val="left"/>
              <w:rPr>
                <w:szCs w:val="18"/>
              </w:rPr>
            </w:pPr>
            <w:r w:rsidRPr="00BF6871">
              <w:t>11-3071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69340F3" w14:textId="5BA53B9C"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Transportation, Storage, and Distribution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A2F67A4" w14:textId="50889D3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477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7A7F5B8" w14:textId="67843D6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505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18A3FFA" w14:textId="19C406E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28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FC53323" w14:textId="1E5BF1FD"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B478CFA" w14:textId="09B57DE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17</w:t>
            </w:r>
          </w:p>
        </w:tc>
      </w:tr>
      <w:tr w:rsidR="00064FED" w:rsidRPr="000C18BD" w14:paraId="24204E7B"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E98147C" w14:textId="07814C13" w:rsidR="00064FED" w:rsidRPr="00D77C12" w:rsidRDefault="00064FED" w:rsidP="00FC3473">
            <w:pPr>
              <w:pStyle w:val="Tablenormalleft"/>
              <w:keepNext w:val="0"/>
              <w:widowControl w:val="0"/>
              <w:jc w:val="left"/>
              <w:rPr>
                <w:szCs w:val="18"/>
              </w:rPr>
            </w:pPr>
            <w:r w:rsidRPr="00BF6871">
              <w:t>11-9013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B569716" w14:textId="49E53D09"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Farmers, Ranchers, and Other Agricultural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3EF101E" w14:textId="4F05848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8,108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54A22BE" w14:textId="0575C7B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7,265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823B6AE" w14:textId="1A1AF9E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(843)</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D23FB05" w14:textId="2DB74C0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8619F13" w14:textId="4C27224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135</w:t>
            </w:r>
          </w:p>
        </w:tc>
      </w:tr>
      <w:tr w:rsidR="00064FED" w:rsidRPr="000C18BD" w14:paraId="56F849E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66F8F77" w14:textId="02E8A4A4" w:rsidR="00064FED" w:rsidRPr="00D77C12" w:rsidRDefault="00064FED" w:rsidP="00FC3473">
            <w:pPr>
              <w:pStyle w:val="Tablenormalleft"/>
              <w:keepNext w:val="0"/>
              <w:widowControl w:val="0"/>
              <w:jc w:val="left"/>
              <w:rPr>
                <w:szCs w:val="18"/>
              </w:rPr>
            </w:pPr>
            <w:r w:rsidRPr="00BF6871">
              <w:t>11-9021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0DF865A" w14:textId="62C71D74"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Construction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A31CE10" w14:textId="250A733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1,139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3BB0B77" w14:textId="20CD150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1,063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9B3966E" w14:textId="6257450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(76)</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99ED304" w14:textId="478A669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D12028B" w14:textId="04E980F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24</w:t>
            </w:r>
          </w:p>
        </w:tc>
      </w:tr>
      <w:tr w:rsidR="00064FED" w:rsidRPr="000C18BD" w14:paraId="44DE8098"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E38716C" w14:textId="1D712EED" w:rsidR="00064FED" w:rsidRPr="00D77C12" w:rsidRDefault="00064FED" w:rsidP="00FC3473">
            <w:pPr>
              <w:pStyle w:val="Tablenormalleft"/>
              <w:keepNext w:val="0"/>
              <w:widowControl w:val="0"/>
              <w:jc w:val="left"/>
              <w:rPr>
                <w:szCs w:val="18"/>
              </w:rPr>
            </w:pPr>
            <w:r w:rsidRPr="00BF6871">
              <w:t>11-9121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66406CA" w14:textId="25AC0F28"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Natural Sciences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66542F4" w14:textId="09174E3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133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5C68718" w14:textId="22016AD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138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39989C" w14:textId="761168B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8A059F0" w14:textId="062145E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AA707AF" w14:textId="4E56902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4</w:t>
            </w:r>
          </w:p>
        </w:tc>
      </w:tr>
      <w:tr w:rsidR="00064FED" w:rsidRPr="000C18BD" w14:paraId="5A938DFC"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6F80DA7" w14:textId="0DF021EA" w:rsidR="00064FED" w:rsidRPr="00D77C12" w:rsidRDefault="00064FED" w:rsidP="00FC3473">
            <w:pPr>
              <w:pStyle w:val="Tablenormalleft"/>
              <w:keepNext w:val="0"/>
              <w:widowControl w:val="0"/>
              <w:jc w:val="left"/>
              <w:rPr>
                <w:szCs w:val="18"/>
              </w:rPr>
            </w:pPr>
            <w:r w:rsidRPr="00BF6871">
              <w:t>11-9151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5308F9F" w14:textId="6E2D448C"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Social and Community Service Managers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30272F9" w14:textId="2AFA63E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795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0017461" w14:textId="69B0214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921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2DA7061" w14:textId="6F1C1B0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126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115FA21" w14:textId="3C2AECC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3298301" w14:textId="6D5E0BB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44</w:t>
            </w:r>
          </w:p>
        </w:tc>
      </w:tr>
      <w:tr w:rsidR="00064FED" w:rsidRPr="000C18BD" w14:paraId="14E252FF"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9BAE778" w14:textId="119C43D9" w:rsidR="00064FED" w:rsidRPr="00D77C12" w:rsidRDefault="00064FED" w:rsidP="00FC3473">
            <w:pPr>
              <w:pStyle w:val="Tablenormalleft"/>
              <w:keepNext w:val="0"/>
              <w:widowControl w:val="0"/>
              <w:jc w:val="left"/>
              <w:rPr>
                <w:szCs w:val="18"/>
              </w:rPr>
            </w:pPr>
            <w:r w:rsidRPr="00BF6871">
              <w:t>11-9199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24EC827" w14:textId="5F28B96E"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Managers,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36146AC" w14:textId="202A733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1,977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5E131C4" w14:textId="4BF590B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2,008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B3EFAA7" w14:textId="743F71B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31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22B953" w14:textId="78D8316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12C8B22" w14:textId="14F5FA8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53</w:t>
            </w:r>
          </w:p>
        </w:tc>
      </w:tr>
      <w:tr w:rsidR="00064FED" w:rsidRPr="000C18BD" w14:paraId="0EC08BB8"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996CA97" w14:textId="7459D836" w:rsidR="00064FED" w:rsidRPr="00D77C12" w:rsidRDefault="00064FED" w:rsidP="00FC3473">
            <w:pPr>
              <w:pStyle w:val="Tablenormalleft"/>
              <w:keepNext w:val="0"/>
              <w:widowControl w:val="0"/>
              <w:jc w:val="left"/>
              <w:rPr>
                <w:szCs w:val="18"/>
              </w:rPr>
            </w:pPr>
            <w:r w:rsidRPr="00BF6871">
              <w:t>13-1051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8E6E769" w14:textId="66A1C6BB"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Cost Estimators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D4877D9" w14:textId="4C40E93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992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02A64FF" w14:textId="2B5CE7A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1,029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5716812" w14:textId="7E01795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37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B267C9" w14:textId="18F090F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9445D6A" w14:textId="5649660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41</w:t>
            </w:r>
          </w:p>
        </w:tc>
      </w:tr>
      <w:tr w:rsidR="00064FED" w:rsidRPr="000C18BD" w14:paraId="5F6B0636"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BBCCE04" w14:textId="00DDA5A0" w:rsidR="00064FED" w:rsidRPr="00D77C12" w:rsidRDefault="00064FED" w:rsidP="00FC3473">
            <w:pPr>
              <w:pStyle w:val="Tablenormalleft"/>
              <w:keepNext w:val="0"/>
              <w:widowControl w:val="0"/>
              <w:jc w:val="left"/>
              <w:rPr>
                <w:szCs w:val="18"/>
              </w:rPr>
            </w:pPr>
            <w:r w:rsidRPr="00BF6871">
              <w:t>13-1111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5381D75" w14:textId="55162A74"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Management Analysts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4CEFF93" w14:textId="753042A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1,536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42F7DBA" w14:textId="6F632AD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1,679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CF6FB73" w14:textId="1F1330E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143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A192B12" w14:textId="057996C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9%</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295FF2B" w14:textId="26609E5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54</w:t>
            </w:r>
          </w:p>
        </w:tc>
      </w:tr>
      <w:tr w:rsidR="00064FED" w:rsidRPr="000C18BD" w14:paraId="0C3091C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7DA2D8B" w14:textId="3BBDF775" w:rsidR="00064FED" w:rsidRPr="00D77C12" w:rsidRDefault="00064FED" w:rsidP="00FC3473">
            <w:pPr>
              <w:pStyle w:val="Tablenormalleft"/>
              <w:keepNext w:val="0"/>
              <w:widowControl w:val="0"/>
              <w:jc w:val="left"/>
              <w:rPr>
                <w:szCs w:val="18"/>
              </w:rPr>
            </w:pPr>
            <w:r w:rsidRPr="00BF6871">
              <w:t>13-2011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81204DC" w14:textId="696ADC8B"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Accountants and Auditors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651642E" w14:textId="4517CB6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3,688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B7D2714" w14:textId="0BBE38B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3,924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B511975" w14:textId="5A36A48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236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14A8CA0" w14:textId="62F867E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40197FD" w14:textId="5C1C8C9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161</w:t>
            </w:r>
          </w:p>
        </w:tc>
      </w:tr>
      <w:tr w:rsidR="00064FED" w:rsidRPr="000C18BD" w14:paraId="1F2A2785"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E55B3CC" w14:textId="0DEB0D0A" w:rsidR="00064FED" w:rsidRPr="00D77C12" w:rsidRDefault="00064FED" w:rsidP="00FC3473">
            <w:pPr>
              <w:pStyle w:val="Tablenormalleft"/>
              <w:keepNext w:val="0"/>
              <w:widowControl w:val="0"/>
              <w:jc w:val="left"/>
              <w:rPr>
                <w:szCs w:val="18"/>
              </w:rPr>
            </w:pPr>
            <w:r w:rsidRPr="00BF6871">
              <w:t>13-2031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8DF6289" w14:textId="340E7E8D"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Budget Analysts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CD42246" w14:textId="1591DA2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216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1339EAF" w14:textId="1B94B7F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225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45B95D0" w14:textId="0547F0F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88F182B" w14:textId="06EF3B1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49EE7A9" w14:textId="023BF49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11</w:t>
            </w:r>
          </w:p>
        </w:tc>
      </w:tr>
      <w:tr w:rsidR="00064FED" w:rsidRPr="000C18BD" w14:paraId="1B5DEF2B"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F3AED16" w14:textId="2E81F0B5" w:rsidR="00064FED" w:rsidRPr="00D77C12" w:rsidRDefault="00064FED" w:rsidP="00FC3473">
            <w:pPr>
              <w:pStyle w:val="Tablenormalleft"/>
              <w:keepNext w:val="0"/>
              <w:widowControl w:val="0"/>
              <w:jc w:val="left"/>
              <w:rPr>
                <w:szCs w:val="18"/>
              </w:rPr>
            </w:pPr>
            <w:r w:rsidRPr="00BF6871">
              <w:t>13-2041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2A641AF" w14:textId="67E33443"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Credit Analysts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F327E23" w14:textId="764E987D"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154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F1DDAF7" w14:textId="7A8EDFE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152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765DC79" w14:textId="26DDA32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9C7BDE9" w14:textId="1EEFB5A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ECD7713" w14:textId="5F5E6A6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w:t>
            </w:r>
          </w:p>
        </w:tc>
      </w:tr>
      <w:tr w:rsidR="00064FED" w:rsidRPr="000C18BD" w14:paraId="63497E71"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DAD013C" w14:textId="7E3E7DD3" w:rsidR="00064FED" w:rsidRPr="00D77C12" w:rsidRDefault="00064FED" w:rsidP="00FC3473">
            <w:pPr>
              <w:pStyle w:val="Tablenormalleft"/>
              <w:keepNext w:val="0"/>
              <w:widowControl w:val="0"/>
              <w:jc w:val="left"/>
              <w:rPr>
                <w:szCs w:val="18"/>
              </w:rPr>
            </w:pPr>
            <w:r w:rsidRPr="00BF6871">
              <w:t>13-2061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11558F9" w14:textId="2018D852"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Financial Examiners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B03442A" w14:textId="60EB273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40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75AD4E7" w14:textId="0364341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42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2A66CFF" w14:textId="44AD4CA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5B04CA1" w14:textId="2CE4242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77875BB" w14:textId="25250CD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0</w:t>
            </w:r>
          </w:p>
        </w:tc>
      </w:tr>
      <w:tr w:rsidR="00064FED" w:rsidRPr="000C18BD" w14:paraId="6270D5CF"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584AA77" w14:textId="4C4F532F" w:rsidR="00064FED" w:rsidRPr="00D77C12" w:rsidRDefault="00064FED" w:rsidP="00FC3473">
            <w:pPr>
              <w:pStyle w:val="Tablenormalleft"/>
              <w:keepNext w:val="0"/>
              <w:widowControl w:val="0"/>
              <w:jc w:val="left"/>
              <w:rPr>
                <w:szCs w:val="18"/>
              </w:rPr>
            </w:pPr>
            <w:r w:rsidRPr="00BF6871">
              <w:t>13-2081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D8C62E9" w14:textId="4D6C1AB2"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Tax Examiners and Collectors, and Revenue Agents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DBB49A8" w14:textId="5686321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1,757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50570AD" w14:textId="57AFF19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1,743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C04AA1" w14:textId="416FD77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(14)</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7FBDBA7" w14:textId="46FD379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426755A" w14:textId="0A03F14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61</w:t>
            </w:r>
          </w:p>
        </w:tc>
      </w:tr>
      <w:tr w:rsidR="00064FED" w:rsidRPr="000C18BD" w14:paraId="6226443C"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DC7576B" w14:textId="2AB8BF74" w:rsidR="00064FED" w:rsidRPr="00D77C12" w:rsidRDefault="00064FED" w:rsidP="00FC3473">
            <w:pPr>
              <w:pStyle w:val="Tablenormalleft"/>
              <w:keepNext w:val="0"/>
              <w:widowControl w:val="0"/>
              <w:jc w:val="left"/>
              <w:rPr>
                <w:szCs w:val="18"/>
              </w:rPr>
            </w:pPr>
            <w:r w:rsidRPr="00BF6871">
              <w:t>13-2082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37168F6" w14:textId="62C75771"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Tax Preparers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0D4449D" w14:textId="04382A7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214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A590B0F" w14:textId="063D3D4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234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50A17FE" w14:textId="618C2A8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F472113" w14:textId="506F03B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9%</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6CC996A" w14:textId="5D2E644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9</w:t>
            </w:r>
          </w:p>
        </w:tc>
      </w:tr>
      <w:tr w:rsidR="00064FED" w:rsidRPr="000C18BD" w14:paraId="6436EED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1148BA2" w14:textId="7C4CAB82" w:rsidR="00064FED" w:rsidRPr="00D77C12" w:rsidRDefault="00064FED" w:rsidP="00FC3473">
            <w:pPr>
              <w:pStyle w:val="Tablenormalleft"/>
              <w:keepNext w:val="0"/>
              <w:widowControl w:val="0"/>
              <w:jc w:val="left"/>
              <w:rPr>
                <w:szCs w:val="18"/>
              </w:rPr>
            </w:pPr>
            <w:r w:rsidRPr="00BF6871">
              <w:t>15-1111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3DBDE3" w14:textId="778B334A"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 xml:space="preserve">Computer and Information </w:t>
            </w:r>
            <w:r w:rsidR="00FD1431" w:rsidRPr="00BF6871">
              <w:t>Resea</w:t>
            </w:r>
            <w:r w:rsidR="00FD1431">
              <w:t>rch</w:t>
            </w:r>
            <w:r w:rsidRPr="00BF6871">
              <w:t xml:space="preserve"> Scientists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7AA86DB" w14:textId="3B8E50C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4044DC8" w14:textId="316E578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428E3C6" w14:textId="26408BD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FB6EEE8" w14:textId="6E81E04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7F81B2A" w14:textId="1052CEB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w:t>
            </w:r>
          </w:p>
        </w:tc>
      </w:tr>
      <w:tr w:rsidR="00064FED" w:rsidRPr="000C18BD" w14:paraId="0CDC6A2C"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A75FDCF" w14:textId="04A608E1" w:rsidR="00064FED" w:rsidRPr="00D77C12" w:rsidRDefault="00064FED" w:rsidP="00FC3473">
            <w:pPr>
              <w:pStyle w:val="Tablenormalleft"/>
              <w:keepNext w:val="0"/>
              <w:widowControl w:val="0"/>
              <w:jc w:val="left"/>
              <w:rPr>
                <w:szCs w:val="18"/>
              </w:rPr>
            </w:pPr>
            <w:r w:rsidRPr="00BF6871">
              <w:t>15-1121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B96B529" w14:textId="1262C7C8"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Computer Systems Analysts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FB099E5" w14:textId="283CBAD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710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50CC248" w14:textId="0066C15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794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58600B2" w14:textId="1DF0EAF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84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0D5A3E0" w14:textId="71B38ED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EFCA1EB" w14:textId="515F82D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29</w:t>
            </w:r>
          </w:p>
        </w:tc>
      </w:tr>
      <w:tr w:rsidR="00064FED" w:rsidRPr="000C18BD" w14:paraId="50F7FFA1"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EE1DD7E" w14:textId="7E697FC1" w:rsidR="00064FED" w:rsidRPr="00D77C12" w:rsidRDefault="00064FED" w:rsidP="00FC3473">
            <w:pPr>
              <w:pStyle w:val="Tablenormalleft"/>
              <w:keepNext w:val="0"/>
              <w:widowControl w:val="0"/>
              <w:jc w:val="left"/>
              <w:rPr>
                <w:szCs w:val="18"/>
              </w:rPr>
            </w:pPr>
            <w:r w:rsidRPr="00BF6871">
              <w:t>15-1122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9FB1DDD" w14:textId="158098C9"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Information Security Analysts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1B5811F" w14:textId="0E26660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131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B277A4C" w14:textId="0BBAF39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148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48B8F00" w14:textId="1C9F594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8F9C13A" w14:textId="4DFCD8F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07699D3" w14:textId="4AA7D96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r>
      <w:tr w:rsidR="00064FED" w:rsidRPr="000C18BD" w14:paraId="6B5FE9F5"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516A45F" w14:textId="7F2FF025" w:rsidR="00064FED" w:rsidRPr="00D77C12" w:rsidRDefault="00064FED" w:rsidP="00FC3473">
            <w:pPr>
              <w:pStyle w:val="Tablenormalleft"/>
              <w:keepNext w:val="0"/>
              <w:widowControl w:val="0"/>
              <w:jc w:val="left"/>
              <w:rPr>
                <w:szCs w:val="18"/>
              </w:rPr>
            </w:pPr>
            <w:r w:rsidRPr="00BF6871">
              <w:t>15-1131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0ACA507" w14:textId="005D9174"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Computer Programmers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A43F98C" w14:textId="7926F3E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375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CC9614C" w14:textId="2FAFE80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391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4A6A0F6" w14:textId="7AEA2E5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779DD0E" w14:textId="1D09F0B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92213D7" w14:textId="0B20903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14</w:t>
            </w:r>
          </w:p>
        </w:tc>
      </w:tr>
      <w:tr w:rsidR="00064FED" w:rsidRPr="0059791A" w14:paraId="74CB1CD2"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tcPr>
          <w:p w14:paraId="1AF5F2CD" w14:textId="61D4C3F4" w:rsidR="00064FED" w:rsidRPr="008722B1" w:rsidRDefault="00064FED" w:rsidP="00FC3473">
            <w:pPr>
              <w:pStyle w:val="Tableheaderleft"/>
              <w:keepNext w:val="0"/>
              <w:widowControl w:val="0"/>
              <w:rPr>
                <w:b w:val="0"/>
                <w:color w:val="auto"/>
                <w:szCs w:val="18"/>
              </w:rPr>
            </w:pPr>
            <w:r w:rsidRPr="00BF6871">
              <w:t>15-1132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tcPr>
          <w:p w14:paraId="687055DF" w14:textId="341A8E9D" w:rsidR="00064FED" w:rsidRPr="008722B1" w:rsidRDefault="00064FED" w:rsidP="00FC3473">
            <w:pPr>
              <w:pStyle w:val="Tableheaderleft"/>
              <w:keepNext w:val="0"/>
              <w:widowControl w:val="0"/>
              <w:cnfStyle w:val="000000010000" w:firstRow="0" w:lastRow="0" w:firstColumn="0" w:lastColumn="0" w:oddVBand="0" w:evenVBand="0" w:oddHBand="0" w:evenHBand="1" w:firstRowFirstColumn="0" w:firstRowLastColumn="0" w:lastRowFirstColumn="0" w:lastRowLastColumn="0"/>
              <w:rPr>
                <w:b w:val="0"/>
                <w:color w:val="auto"/>
                <w:szCs w:val="18"/>
              </w:rPr>
            </w:pPr>
            <w:r w:rsidRPr="00BF6871">
              <w:t>Software Developers, Applications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tcPr>
          <w:p w14:paraId="389B3D14" w14:textId="51D9521E" w:rsidR="00064FED" w:rsidRPr="008722B1" w:rsidRDefault="00064FED" w:rsidP="00242A91">
            <w:pPr>
              <w:pStyle w:val="Tableheadercenter"/>
              <w:keepNext w:val="0"/>
              <w:widowControl w:val="0"/>
              <w:jc w:val="right"/>
              <w:cnfStyle w:val="000000010000" w:firstRow="0" w:lastRow="0" w:firstColumn="0" w:lastColumn="0" w:oddVBand="0" w:evenVBand="0" w:oddHBand="0" w:evenHBand="1" w:firstRowFirstColumn="0" w:firstRowLastColumn="0" w:lastRowFirstColumn="0" w:lastRowLastColumn="0"/>
              <w:rPr>
                <w:b w:val="0"/>
                <w:color w:val="auto"/>
                <w:szCs w:val="18"/>
              </w:rPr>
            </w:pPr>
            <w:r w:rsidRPr="00BF6871">
              <w:t xml:space="preserve"> 564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tcPr>
          <w:p w14:paraId="368305C7" w14:textId="67A8B335" w:rsidR="00064FED" w:rsidRPr="008722B1" w:rsidRDefault="00064FED" w:rsidP="00242A91">
            <w:pPr>
              <w:pStyle w:val="Tableheadercenter"/>
              <w:keepNext w:val="0"/>
              <w:widowControl w:val="0"/>
              <w:jc w:val="right"/>
              <w:cnfStyle w:val="000000010000" w:firstRow="0" w:lastRow="0" w:firstColumn="0" w:lastColumn="0" w:oddVBand="0" w:evenVBand="0" w:oddHBand="0" w:evenHBand="1" w:firstRowFirstColumn="0" w:firstRowLastColumn="0" w:lastRowFirstColumn="0" w:lastRowLastColumn="0"/>
              <w:rPr>
                <w:b w:val="0"/>
                <w:color w:val="auto"/>
                <w:szCs w:val="18"/>
              </w:rPr>
            </w:pPr>
            <w:r w:rsidRPr="00BF6871">
              <w:t xml:space="preserve"> 624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tcPr>
          <w:p w14:paraId="5B817124" w14:textId="08AB82BC" w:rsidR="00064FED" w:rsidRPr="008722B1" w:rsidRDefault="00064FED" w:rsidP="00242A91">
            <w:pPr>
              <w:pStyle w:val="Tableheadercenter"/>
              <w:keepNext w:val="0"/>
              <w:widowControl w:val="0"/>
              <w:jc w:val="right"/>
              <w:cnfStyle w:val="000000010000" w:firstRow="0" w:lastRow="0" w:firstColumn="0" w:lastColumn="0" w:oddVBand="0" w:evenVBand="0" w:oddHBand="0" w:evenHBand="1" w:firstRowFirstColumn="0" w:firstRowLastColumn="0" w:lastRowFirstColumn="0" w:lastRowLastColumn="0"/>
              <w:rPr>
                <w:b w:val="0"/>
                <w:color w:val="auto"/>
                <w:szCs w:val="18"/>
              </w:rPr>
            </w:pPr>
            <w:r w:rsidRPr="00BF6871">
              <w:t xml:space="preserve">60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tcPr>
          <w:p w14:paraId="0FDE67B8" w14:textId="743F63EE" w:rsidR="00064FED" w:rsidRPr="008722B1" w:rsidRDefault="00064FED" w:rsidP="00242A91">
            <w:pPr>
              <w:pStyle w:val="Tableheadercenter"/>
              <w:keepNext w:val="0"/>
              <w:widowControl w:val="0"/>
              <w:jc w:val="right"/>
              <w:cnfStyle w:val="000000010000" w:firstRow="0" w:lastRow="0" w:firstColumn="0" w:lastColumn="0" w:oddVBand="0" w:evenVBand="0" w:oddHBand="0" w:evenHBand="1" w:firstRowFirstColumn="0" w:firstRowLastColumn="0" w:lastRowFirstColumn="0" w:lastRowLastColumn="0"/>
              <w:rPr>
                <w:b w:val="0"/>
                <w:color w:val="auto"/>
                <w:szCs w:val="18"/>
              </w:rPr>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auto"/>
            <w:noWrap/>
          </w:tcPr>
          <w:p w14:paraId="623DB810" w14:textId="205F7160" w:rsidR="00064FED" w:rsidRPr="008722B1" w:rsidRDefault="00064FED" w:rsidP="00242A91">
            <w:pPr>
              <w:pStyle w:val="Tableheadercenter"/>
              <w:keepNext w:val="0"/>
              <w:widowControl w:val="0"/>
              <w:jc w:val="right"/>
              <w:cnfStyle w:val="000000010000" w:firstRow="0" w:lastRow="0" w:firstColumn="0" w:lastColumn="0" w:oddVBand="0" w:evenVBand="0" w:oddHBand="0" w:evenHBand="1" w:firstRowFirstColumn="0" w:firstRowLastColumn="0" w:lastRowFirstColumn="0" w:lastRowLastColumn="0"/>
              <w:rPr>
                <w:b w:val="0"/>
                <w:color w:val="auto"/>
                <w:szCs w:val="18"/>
              </w:rPr>
            </w:pPr>
            <w:r w:rsidRPr="00BF6871">
              <w:t>20</w:t>
            </w:r>
          </w:p>
        </w:tc>
      </w:tr>
      <w:tr w:rsidR="00064FED" w:rsidRPr="000C18BD" w14:paraId="42B8C944"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99F4773" w14:textId="2A3B9DBD" w:rsidR="00064FED" w:rsidRPr="00D77C12" w:rsidRDefault="00064FED" w:rsidP="00FC3473">
            <w:pPr>
              <w:pStyle w:val="Tablenormalleft"/>
              <w:keepNext w:val="0"/>
              <w:widowControl w:val="0"/>
              <w:jc w:val="left"/>
              <w:rPr>
                <w:szCs w:val="18"/>
              </w:rPr>
            </w:pPr>
            <w:r w:rsidRPr="00BF6871">
              <w:t>15-1133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E84F2C0" w14:textId="6251B852"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Software Developers, Systems Software</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D617FC6" w14:textId="7EB932C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253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06FA879" w14:textId="7F0C943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288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69EDFC1" w14:textId="6F9EE1C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35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7FAD8FD" w14:textId="09F6955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D633A19" w14:textId="67D5E02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11</w:t>
            </w:r>
          </w:p>
        </w:tc>
      </w:tr>
      <w:tr w:rsidR="00064FED" w:rsidRPr="000C18BD" w14:paraId="3F68EEF8"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60E1D07" w14:textId="2E46C91D" w:rsidR="00064FED" w:rsidRPr="00D77C12" w:rsidRDefault="00064FED" w:rsidP="00FC3473">
            <w:pPr>
              <w:pStyle w:val="Tablenormalleft"/>
              <w:keepNext w:val="0"/>
              <w:widowControl w:val="0"/>
              <w:jc w:val="left"/>
              <w:rPr>
                <w:szCs w:val="18"/>
              </w:rPr>
            </w:pPr>
            <w:r w:rsidRPr="00BF6871">
              <w:t>15-1134</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67C81E4" w14:textId="08444327"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Web Developers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18FD455" w14:textId="10B92F7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225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5D185D0" w14:textId="4BA9C16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248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2075A99" w14:textId="70F916D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23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F2B77D9" w14:textId="58DC59D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1A1989F" w14:textId="228BAD0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9</w:t>
            </w:r>
          </w:p>
        </w:tc>
      </w:tr>
      <w:tr w:rsidR="00064FED" w:rsidRPr="000C18BD" w14:paraId="2EA34F01"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7A46674" w14:textId="2AE73775" w:rsidR="00064FED" w:rsidRPr="00D77C12" w:rsidRDefault="00064FED" w:rsidP="00FC3473">
            <w:pPr>
              <w:pStyle w:val="Tablenormalleft"/>
              <w:keepNext w:val="0"/>
              <w:widowControl w:val="0"/>
              <w:jc w:val="left"/>
              <w:rPr>
                <w:szCs w:val="18"/>
              </w:rPr>
            </w:pPr>
            <w:r w:rsidRPr="00BF6871">
              <w:t>15-1141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8FB391F" w14:textId="60BE4E34"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Database Administrators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8CB30F5" w14:textId="2C0CBD9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222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621E08C" w14:textId="11611CA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238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CB047E2" w14:textId="39A4820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1C26798" w14:textId="58F0F15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A0CF86E" w14:textId="3B77D2C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w:t>
            </w:r>
          </w:p>
        </w:tc>
      </w:tr>
      <w:tr w:rsidR="00064FED" w:rsidRPr="000C18BD" w14:paraId="1038BE47"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1AB84C" w14:textId="01E7D33F" w:rsidR="00064FED" w:rsidRPr="00D77C12" w:rsidRDefault="00064FED" w:rsidP="00FC3473">
            <w:pPr>
              <w:pStyle w:val="Tablenormalleft"/>
              <w:keepNext w:val="0"/>
              <w:widowControl w:val="0"/>
              <w:jc w:val="left"/>
              <w:rPr>
                <w:szCs w:val="18"/>
              </w:rPr>
            </w:pPr>
            <w:r w:rsidRPr="00BF6871">
              <w:t>15-1142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E1D1AC4" w14:textId="4FD62E9D"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Network and Computer Systems Administrators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D98C544" w14:textId="7D6990B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578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8D4A97B" w14:textId="2D7DC57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635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1769D1E" w14:textId="6C6302B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57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E763BAD" w14:textId="0DEB721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8DC2308" w14:textId="23A5DA8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22</w:t>
            </w:r>
          </w:p>
        </w:tc>
      </w:tr>
      <w:tr w:rsidR="00064FED" w:rsidRPr="000C18BD" w14:paraId="42D0804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BE8717F" w14:textId="728C1255" w:rsidR="00064FED" w:rsidRPr="00D77C12" w:rsidRDefault="00064FED" w:rsidP="00FC3473">
            <w:pPr>
              <w:pStyle w:val="Tablenormalleft"/>
              <w:keepNext w:val="0"/>
              <w:widowControl w:val="0"/>
              <w:jc w:val="left"/>
              <w:rPr>
                <w:szCs w:val="18"/>
              </w:rPr>
            </w:pPr>
            <w:r w:rsidRPr="00BF6871">
              <w:t>15-1143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F570ED2" w14:textId="1E009DF1"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 xml:space="preserve">Computer Network </w:t>
            </w:r>
            <w:r w:rsidR="00FD1431" w:rsidRPr="00BF6871">
              <w:t>A</w:t>
            </w:r>
            <w:r w:rsidR="00FD1431">
              <w:t>rch</w:t>
            </w:r>
            <w:r w:rsidR="00FD1431" w:rsidRPr="00BF6871">
              <w:t>itects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9E06787" w14:textId="60BD151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120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0F08CB3" w14:textId="2342E06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136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7525CA8" w14:textId="43ED0BC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DB98AA0" w14:textId="4D0E820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207DDB0" w14:textId="22D2634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6</w:t>
            </w:r>
          </w:p>
        </w:tc>
      </w:tr>
      <w:tr w:rsidR="00064FED" w:rsidRPr="000C18BD" w14:paraId="545E037D"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3D7023B" w14:textId="60357D5D" w:rsidR="00064FED" w:rsidRPr="00D77C12" w:rsidRDefault="00064FED" w:rsidP="00FC3473">
            <w:pPr>
              <w:pStyle w:val="Tablenormalleft"/>
              <w:keepNext w:val="0"/>
              <w:widowControl w:val="0"/>
              <w:jc w:val="left"/>
              <w:rPr>
                <w:szCs w:val="18"/>
              </w:rPr>
            </w:pPr>
            <w:r w:rsidRPr="00BF6871">
              <w:t>15-1151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A7D7FBA" w14:textId="39E0E012"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Computer User Support Specialists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B99EACC" w14:textId="5522DAC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1,320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AD16110" w14:textId="1ADF526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1,461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D856B31" w14:textId="60312C0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141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26E2279" w14:textId="428182F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62D568C" w14:textId="21F6D13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51</w:t>
            </w:r>
          </w:p>
        </w:tc>
      </w:tr>
      <w:tr w:rsidR="00064FED" w:rsidRPr="000C18BD" w14:paraId="388C560A"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5B8A8F4" w14:textId="48478CA8" w:rsidR="00064FED" w:rsidRPr="00D77C12" w:rsidRDefault="00064FED" w:rsidP="00FC3473">
            <w:pPr>
              <w:pStyle w:val="Tablenormalleft"/>
              <w:keepNext w:val="0"/>
              <w:widowControl w:val="0"/>
              <w:jc w:val="left"/>
              <w:rPr>
                <w:szCs w:val="18"/>
              </w:rPr>
            </w:pPr>
            <w:r w:rsidRPr="00BF6871">
              <w:t>15-1152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8366A9E" w14:textId="236596F2"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Computer Network Support Specialists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AA4D7F0" w14:textId="763B418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341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0FCCFEE" w14:textId="131E3BB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361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DC1AAB6" w14:textId="4DF3AAB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9BEEC60" w14:textId="0BBEC1F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C7ED3B3" w14:textId="06A2D81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10</w:t>
            </w:r>
          </w:p>
        </w:tc>
      </w:tr>
      <w:tr w:rsidR="00064FED" w:rsidRPr="000C18BD" w14:paraId="31C2DB2E"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ACD9991" w14:textId="031FE59A" w:rsidR="00064FED" w:rsidRPr="00D77C12" w:rsidRDefault="00064FED" w:rsidP="00FC3473">
            <w:pPr>
              <w:pStyle w:val="Tablenormalleft"/>
              <w:keepNext w:val="0"/>
              <w:widowControl w:val="0"/>
              <w:jc w:val="left"/>
              <w:rPr>
                <w:szCs w:val="18"/>
              </w:rPr>
            </w:pPr>
            <w:r w:rsidRPr="00BF6871">
              <w:t>15-1199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894B02" w14:textId="2196FADA"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Computer Occupations,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A0F64D0" w14:textId="13D73AF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371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B9B7EA4" w14:textId="230A83A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384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75635D0" w14:textId="0A67FCB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15B5D68" w14:textId="4C0225A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91B2763" w14:textId="11ADB12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9</w:t>
            </w:r>
          </w:p>
        </w:tc>
      </w:tr>
      <w:tr w:rsidR="00064FED" w:rsidRPr="000C18BD" w14:paraId="1FA2ACF8"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B5F41DD" w14:textId="62DDC692" w:rsidR="00064FED" w:rsidRPr="00D77C12" w:rsidRDefault="00064FED" w:rsidP="00FC3473">
            <w:pPr>
              <w:pStyle w:val="Tablenormalleft"/>
              <w:keepNext w:val="0"/>
              <w:widowControl w:val="0"/>
              <w:jc w:val="left"/>
              <w:rPr>
                <w:szCs w:val="18"/>
              </w:rPr>
            </w:pPr>
            <w:r w:rsidRPr="00BF6871">
              <w:t>15-2021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06E8012" w14:textId="355A3E88"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Mathematicians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A3402A4" w14:textId="268C0D9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&lt;10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85607B9" w14:textId="2488B1A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&lt;10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7731C3F" w14:textId="366F15A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60F8723" w14:textId="69B6FFF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CC012EB" w14:textId="27AFBF3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0</w:t>
            </w:r>
          </w:p>
        </w:tc>
      </w:tr>
      <w:tr w:rsidR="00064FED" w:rsidRPr="000C18BD" w14:paraId="33449DB3"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ED279A4" w14:textId="5ABB6982" w:rsidR="00064FED" w:rsidRPr="00D77C12" w:rsidRDefault="00064FED" w:rsidP="00FC3473">
            <w:pPr>
              <w:pStyle w:val="Tablenormalleft"/>
              <w:keepNext w:val="0"/>
              <w:widowControl w:val="0"/>
              <w:jc w:val="left"/>
              <w:rPr>
                <w:szCs w:val="18"/>
              </w:rPr>
            </w:pPr>
            <w:r w:rsidRPr="00BF6871">
              <w:t>15-2041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B91505C" w14:textId="3441A266"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Statisticians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0C4B3B7" w14:textId="7A877B0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52F223D" w14:textId="7379A11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C413ED3" w14:textId="6D7119B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E1400A0" w14:textId="6859EFC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068E5CC" w14:textId="043B73F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w:t>
            </w:r>
          </w:p>
        </w:tc>
      </w:tr>
      <w:tr w:rsidR="00064FED" w:rsidRPr="000C18BD" w14:paraId="01BD5B1A"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A62A6A7" w14:textId="5CAC996C" w:rsidR="00064FED" w:rsidRPr="00D77C12" w:rsidRDefault="00064FED" w:rsidP="00FC3473">
            <w:pPr>
              <w:pStyle w:val="Tablenormalleft"/>
              <w:keepNext w:val="0"/>
              <w:widowControl w:val="0"/>
              <w:jc w:val="left"/>
              <w:rPr>
                <w:szCs w:val="18"/>
              </w:rPr>
            </w:pPr>
            <w:r w:rsidRPr="00BF6871">
              <w:t>15-2099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5A05192" w14:textId="1CFD7E79"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Mathematical Science Occupations,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2664660" w14:textId="73B2065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&lt;10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8A69FC6" w14:textId="25E8D79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&lt;10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B4C5308" w14:textId="331BFD1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A1A4D85" w14:textId="689D55C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E1CCBA6" w14:textId="5D8C6DD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0</w:t>
            </w:r>
          </w:p>
        </w:tc>
      </w:tr>
      <w:tr w:rsidR="00064FED" w:rsidRPr="000C18BD" w14:paraId="2666740B"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85CA5F9" w14:textId="4C80FDD9" w:rsidR="00064FED" w:rsidRPr="00D77C12" w:rsidRDefault="00064FED" w:rsidP="00FC3473">
            <w:pPr>
              <w:pStyle w:val="Tablenormalleft"/>
              <w:keepNext w:val="0"/>
              <w:widowControl w:val="0"/>
              <w:jc w:val="left"/>
              <w:rPr>
                <w:szCs w:val="18"/>
              </w:rPr>
            </w:pPr>
            <w:r w:rsidRPr="00BF6871">
              <w:t>17-2112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5581DC5" w14:textId="47884D6E"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Industrial Engineers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07AF704" w14:textId="0CF8A40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275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863363D" w14:textId="170F878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296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1247736" w14:textId="20C09D9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21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EFE1D2B" w14:textId="532CA38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5B1F08F" w14:textId="412E908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13</w:t>
            </w:r>
          </w:p>
        </w:tc>
      </w:tr>
      <w:tr w:rsidR="00064FED" w:rsidRPr="000C18BD" w14:paraId="62A3A892"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37E9885" w14:textId="45309676" w:rsidR="00064FED" w:rsidRPr="00D77C12" w:rsidRDefault="00064FED" w:rsidP="00FC3473">
            <w:pPr>
              <w:pStyle w:val="Tablenormalleft"/>
              <w:keepNext w:val="0"/>
              <w:widowControl w:val="0"/>
              <w:jc w:val="left"/>
              <w:rPr>
                <w:szCs w:val="18"/>
              </w:rPr>
            </w:pPr>
            <w:r w:rsidRPr="00BF6871">
              <w:t>17-3026</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AAE0DF1" w14:textId="1A335557"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Industrial Engineering Technicians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259B869" w14:textId="2C0734F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59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704502A" w14:textId="7DD2794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B8421B1" w14:textId="5E06455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70D5340" w14:textId="2C47CA0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53F90D2" w14:textId="79DA08A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r>
      <w:tr w:rsidR="00064FED" w:rsidRPr="000C18BD" w14:paraId="136DC5CB"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B86D28A" w14:textId="0D94C688" w:rsidR="00064FED" w:rsidRPr="00D77C12" w:rsidRDefault="00064FED" w:rsidP="00FC3473">
            <w:pPr>
              <w:pStyle w:val="Tablenormalleft"/>
              <w:keepNext w:val="0"/>
              <w:widowControl w:val="0"/>
              <w:jc w:val="left"/>
              <w:rPr>
                <w:szCs w:val="18"/>
              </w:rPr>
            </w:pPr>
            <w:r w:rsidRPr="00BF6871">
              <w:t>17-3031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E47C862" w14:textId="1A283E44"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Surveying and Mapping Technicians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2DF1FAE" w14:textId="5C10BC0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110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4CF4C60" w14:textId="17E2DAE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118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FB1C382" w14:textId="6C2C461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1A63AC1" w14:textId="4445E34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128C081" w14:textId="0A3A033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w:t>
            </w:r>
          </w:p>
        </w:tc>
      </w:tr>
      <w:tr w:rsidR="00064FED" w:rsidRPr="000C18BD" w14:paraId="62C5BC44"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549C7AC" w14:textId="2D5070F6" w:rsidR="00064FED" w:rsidRPr="00D77C12" w:rsidRDefault="00064FED" w:rsidP="00FC3473">
            <w:pPr>
              <w:pStyle w:val="Tablenormalleft"/>
              <w:keepNext w:val="0"/>
              <w:widowControl w:val="0"/>
              <w:jc w:val="left"/>
              <w:rPr>
                <w:szCs w:val="18"/>
              </w:rPr>
            </w:pPr>
            <w:r w:rsidRPr="00BF6871">
              <w:t>19-1011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A7E0F67" w14:textId="616E8D39"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Animal Scientists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121B284" w14:textId="6F8DED9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49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4CA5276" w14:textId="4D942A2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50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0CA50E9" w14:textId="5034CEA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C8EBE88" w14:textId="329C55E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B30309C" w14:textId="38FF922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r>
      <w:tr w:rsidR="00064FED" w:rsidRPr="000C18BD" w14:paraId="06C546E6"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6D4769C" w14:textId="27C56EEF" w:rsidR="00064FED" w:rsidRPr="00D77C12" w:rsidRDefault="00064FED" w:rsidP="00FC3473">
            <w:pPr>
              <w:pStyle w:val="Tablenormalleft"/>
              <w:keepNext w:val="0"/>
              <w:widowControl w:val="0"/>
              <w:jc w:val="left"/>
              <w:rPr>
                <w:szCs w:val="18"/>
              </w:rPr>
            </w:pPr>
            <w:r w:rsidRPr="00BF6871">
              <w:t>19-1012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FD72CD1" w14:textId="41861FBC"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Food Scientists and Technologists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CDF2836" w14:textId="2736FF1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243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8169B19" w14:textId="7B3B821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249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648F51C" w14:textId="75F5C46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7F003A5" w14:textId="129C510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DC8ADEE" w14:textId="0B99CAF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10</w:t>
            </w:r>
          </w:p>
        </w:tc>
      </w:tr>
      <w:tr w:rsidR="00064FED" w:rsidRPr="000C18BD" w14:paraId="0528044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93DAB50" w14:textId="56058BD1" w:rsidR="00064FED" w:rsidRPr="00D77C12" w:rsidRDefault="00064FED" w:rsidP="00FC3473">
            <w:pPr>
              <w:pStyle w:val="Tablenormalleft"/>
              <w:keepNext w:val="0"/>
              <w:widowControl w:val="0"/>
              <w:jc w:val="left"/>
              <w:rPr>
                <w:szCs w:val="18"/>
              </w:rPr>
            </w:pPr>
            <w:r w:rsidRPr="00BF6871">
              <w:t>19-1013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DE1FA06" w14:textId="604EAA56"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Soil and Plant Scientists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141897A" w14:textId="51E75EC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128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A43EA3B" w14:textId="41743C4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134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A7DBC43" w14:textId="6FE0406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4AC4695" w14:textId="56F9CDD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01C9FB7" w14:textId="4776AE8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6</w:t>
            </w:r>
          </w:p>
        </w:tc>
      </w:tr>
      <w:tr w:rsidR="00064FED" w:rsidRPr="000C18BD" w14:paraId="3F47AC8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B39C920" w14:textId="511365B3" w:rsidR="00064FED" w:rsidRPr="00D77C12" w:rsidRDefault="00064FED" w:rsidP="00FC3473">
            <w:pPr>
              <w:pStyle w:val="Tablenormalleft"/>
              <w:keepNext w:val="0"/>
              <w:widowControl w:val="0"/>
              <w:jc w:val="left"/>
              <w:rPr>
                <w:szCs w:val="18"/>
              </w:rPr>
            </w:pPr>
            <w:r w:rsidRPr="00BF6871">
              <w:t>19-1029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2E5B196" w14:textId="2F894F3B"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Biological Scientists,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0DA7C9D" w14:textId="48CBD7D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154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8EB8AEC" w14:textId="610D0E3D"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155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F3D4B30" w14:textId="7ED28FF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D7A46E8" w14:textId="3373689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6FEFD49" w14:textId="76C342A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5</w:t>
            </w:r>
          </w:p>
        </w:tc>
      </w:tr>
      <w:tr w:rsidR="00064FED" w:rsidRPr="000C18BD" w14:paraId="1127BDDF"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BB30DDD" w14:textId="37C4B1AB" w:rsidR="00064FED" w:rsidRPr="00D77C12" w:rsidRDefault="00064FED" w:rsidP="00FC3473">
            <w:pPr>
              <w:pStyle w:val="Tablenormalleft"/>
              <w:keepNext w:val="0"/>
              <w:widowControl w:val="0"/>
              <w:jc w:val="left"/>
              <w:rPr>
                <w:szCs w:val="18"/>
              </w:rPr>
            </w:pPr>
            <w:r w:rsidRPr="00BF6871">
              <w:t>19-1031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F27A80E" w14:textId="3ED8AA8C"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Conservation Scientists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F6719F3" w14:textId="1D641B6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108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15B323C" w14:textId="44E42E5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114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2A2C8B1" w14:textId="5388019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9F9FE2D" w14:textId="77DACE3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698DB73" w14:textId="1031ECA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r>
      <w:tr w:rsidR="00064FED" w:rsidRPr="000C18BD" w14:paraId="1BD059D0"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ABC77D" w14:textId="0FA169F9" w:rsidR="00064FED" w:rsidRPr="00D77C12" w:rsidRDefault="00064FED" w:rsidP="00FC3473">
            <w:pPr>
              <w:pStyle w:val="Tablenormalleft"/>
              <w:keepNext w:val="0"/>
              <w:widowControl w:val="0"/>
              <w:jc w:val="left"/>
              <w:rPr>
                <w:szCs w:val="18"/>
              </w:rPr>
            </w:pPr>
            <w:r w:rsidRPr="00BF6871">
              <w:t>19-1032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510D815" w14:textId="32A62C9F"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Foresters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23E7705" w14:textId="31191F1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168C90C" w14:textId="2E58BDA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BF576C0" w14:textId="0401534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2D96FBC" w14:textId="5099BB3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AA01EF4" w14:textId="428EAB2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3</w:t>
            </w:r>
          </w:p>
        </w:tc>
      </w:tr>
      <w:tr w:rsidR="00064FED" w:rsidRPr="000C18BD" w14:paraId="072A748C"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3124739" w14:textId="0F1DA9D9" w:rsidR="00064FED" w:rsidRPr="00D77C12" w:rsidRDefault="00064FED" w:rsidP="00FC3473">
            <w:pPr>
              <w:pStyle w:val="Tablenormalleft"/>
              <w:keepNext w:val="0"/>
              <w:widowControl w:val="0"/>
              <w:jc w:val="left"/>
              <w:rPr>
                <w:szCs w:val="18"/>
              </w:rPr>
            </w:pPr>
            <w:r w:rsidRPr="00BF6871">
              <w:t>19-1099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F431433" w14:textId="0E4BD5B3"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Life Scientists,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B6AAEBD" w14:textId="772B1F3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6BE43B4" w14:textId="77976BB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C382F54" w14:textId="2A9625D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27C6251" w14:textId="1B1767A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8D464C3" w14:textId="0E4E1F7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w:t>
            </w:r>
          </w:p>
        </w:tc>
      </w:tr>
      <w:tr w:rsidR="00064FED" w:rsidRPr="000C18BD" w14:paraId="41973134"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2C5D1E4" w14:textId="5F507595" w:rsidR="00064FED" w:rsidRPr="00D77C12" w:rsidRDefault="00064FED" w:rsidP="00FC3473">
            <w:pPr>
              <w:pStyle w:val="Tablenormalleft"/>
              <w:keepNext w:val="0"/>
              <w:widowControl w:val="0"/>
              <w:jc w:val="left"/>
              <w:rPr>
                <w:szCs w:val="18"/>
              </w:rPr>
            </w:pPr>
            <w:r w:rsidRPr="00BF6871">
              <w:t>19-3031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A11BFB0" w14:textId="3978D7A4"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Clinical, Counseling, and School Psychologists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5F3B50F" w14:textId="4728AF6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1,241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175BD11" w14:textId="20DBDBB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1,316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CE30CFE" w14:textId="5EB2823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75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D76419F" w14:textId="37BD5BC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CC01FF8" w14:textId="68ECBAB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50</w:t>
            </w:r>
          </w:p>
        </w:tc>
      </w:tr>
      <w:tr w:rsidR="00064FED" w:rsidRPr="000C18BD" w14:paraId="52E2B75D"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0477600" w14:textId="0F26F7EB" w:rsidR="00064FED" w:rsidRPr="00D77C12" w:rsidRDefault="00064FED" w:rsidP="00FC3473">
            <w:pPr>
              <w:pStyle w:val="Tablenormalleft"/>
              <w:keepNext w:val="0"/>
              <w:widowControl w:val="0"/>
              <w:jc w:val="left"/>
              <w:rPr>
                <w:szCs w:val="18"/>
              </w:rPr>
            </w:pPr>
            <w:r w:rsidRPr="00BF6871">
              <w:t>19-3032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086BD3C" w14:textId="0A419326"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Industrial-Organizational Psychologists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167B77" w14:textId="4DCDCE9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&lt;10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58B67CF" w14:textId="7438555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&lt;10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01A5967" w14:textId="6F3DF43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DE478CB" w14:textId="2178AEB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0FADC50" w14:textId="4547178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0</w:t>
            </w:r>
          </w:p>
        </w:tc>
      </w:tr>
      <w:tr w:rsidR="00064FED" w:rsidRPr="000C18BD" w14:paraId="768702D5"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EA13D81" w14:textId="6B1C0A12" w:rsidR="00064FED" w:rsidRPr="00D77C12" w:rsidRDefault="00064FED" w:rsidP="00FC3473">
            <w:pPr>
              <w:pStyle w:val="Tablenormalleft"/>
              <w:keepNext w:val="0"/>
              <w:widowControl w:val="0"/>
              <w:jc w:val="left"/>
              <w:rPr>
                <w:szCs w:val="18"/>
              </w:rPr>
            </w:pPr>
            <w:r w:rsidRPr="00BF6871">
              <w:t>19-3039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AC16C15" w14:textId="03A3D1BF"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Psychologists,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95C42E3" w14:textId="57DB6C5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37ECF77" w14:textId="78E81D4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71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2E9C945" w14:textId="40DCB4D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DDB2904" w14:textId="47E6F07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BC16D32" w14:textId="2267C80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3</w:t>
            </w:r>
          </w:p>
        </w:tc>
      </w:tr>
      <w:tr w:rsidR="00064FED" w:rsidRPr="000C18BD" w14:paraId="2C8EB750"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484A655" w14:textId="6431E6E1" w:rsidR="00064FED" w:rsidRPr="00D77C12" w:rsidRDefault="00064FED" w:rsidP="00FC3473">
            <w:pPr>
              <w:pStyle w:val="Tablenormalleft"/>
              <w:keepNext w:val="0"/>
              <w:widowControl w:val="0"/>
              <w:jc w:val="left"/>
              <w:rPr>
                <w:szCs w:val="18"/>
              </w:rPr>
            </w:pPr>
            <w:r w:rsidRPr="00BF6871">
              <w:t>19-3099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FEDD595" w14:textId="03344AF3"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Social Scientists and Related Workers,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22792A4" w14:textId="1D1608B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3316B6F" w14:textId="1FCF646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9F32A3D" w14:textId="6048F4A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0A82062" w14:textId="386C11D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CEF1F3F" w14:textId="1E32819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r>
      <w:tr w:rsidR="00064FED" w:rsidRPr="000C18BD" w14:paraId="4CDB3672"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A1B4277" w14:textId="79B1D1D5" w:rsidR="00064FED" w:rsidRPr="00D77C12" w:rsidRDefault="00064FED" w:rsidP="00FC3473">
            <w:pPr>
              <w:pStyle w:val="Tablenormalleft"/>
              <w:keepNext w:val="0"/>
              <w:widowControl w:val="0"/>
              <w:jc w:val="left"/>
              <w:rPr>
                <w:szCs w:val="18"/>
              </w:rPr>
            </w:pPr>
            <w:r w:rsidRPr="00BF6871">
              <w:t>19-4011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2D1B73C" w14:textId="66DC2DE9"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Agricultural and Food Science Technicians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26F30C5" w14:textId="787B6F4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439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EAEC358" w14:textId="5D7F51E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458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188E647" w14:textId="727BEA5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BF70D6F" w14:textId="204F483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FCB146C" w14:textId="3C888FA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20</w:t>
            </w:r>
          </w:p>
        </w:tc>
      </w:tr>
      <w:tr w:rsidR="00064FED" w:rsidRPr="000C18BD" w14:paraId="28022E6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0C48AA2" w14:textId="14D61F2F" w:rsidR="00064FED" w:rsidRPr="00D77C12" w:rsidRDefault="00064FED" w:rsidP="00FC3473">
            <w:pPr>
              <w:pStyle w:val="Tablenormalleft"/>
              <w:keepNext w:val="0"/>
              <w:widowControl w:val="0"/>
              <w:jc w:val="left"/>
              <w:rPr>
                <w:szCs w:val="18"/>
              </w:rPr>
            </w:pPr>
            <w:r w:rsidRPr="00BF6871">
              <w:t>19-4061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F072CCF" w14:textId="79C1ABB2"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Social Science Resea</w:t>
            </w:r>
            <w:r w:rsidR="006C38C7">
              <w:t>CCC</w:t>
            </w:r>
            <w:r w:rsidRPr="00BF6871">
              <w:t>h Assistants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14EF7BD" w14:textId="7CF9A21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D82CEC6" w14:textId="017DE0F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E4355D9" w14:textId="3513A96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8415074" w14:textId="7C76C9B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CB85E30" w14:textId="6FA070D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r>
      <w:tr w:rsidR="00064FED" w:rsidRPr="000C18BD" w14:paraId="564AD0A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6BC0760" w14:textId="40D840CE" w:rsidR="00064FED" w:rsidRPr="00D77C12" w:rsidRDefault="00064FED" w:rsidP="00FC3473">
            <w:pPr>
              <w:pStyle w:val="Tablenormalleft"/>
              <w:keepNext w:val="0"/>
              <w:widowControl w:val="0"/>
              <w:jc w:val="left"/>
              <w:rPr>
                <w:szCs w:val="18"/>
              </w:rPr>
            </w:pPr>
            <w:r w:rsidRPr="00BF6871">
              <w:t>19-4093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673F0C7" w14:textId="4AB2FBE1"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Forest and Conservation Technicians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8E8C25B" w14:textId="729AC8B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363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4750283" w14:textId="1E730FF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361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7EE332F" w14:textId="70E786A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82E5283" w14:textId="1D3EDA7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4204D86" w14:textId="73975AB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15</w:t>
            </w:r>
          </w:p>
        </w:tc>
      </w:tr>
      <w:tr w:rsidR="00064FED" w:rsidRPr="000C18BD" w14:paraId="6654389F"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F33F270" w14:textId="3901BBF9" w:rsidR="00064FED" w:rsidRPr="00D77C12" w:rsidRDefault="00064FED" w:rsidP="00FC3473">
            <w:pPr>
              <w:pStyle w:val="Tablenormalleft"/>
              <w:keepNext w:val="0"/>
              <w:widowControl w:val="0"/>
              <w:jc w:val="left"/>
              <w:rPr>
                <w:szCs w:val="18"/>
              </w:rPr>
            </w:pPr>
            <w:r w:rsidRPr="00BF6871">
              <w:t>21-1093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6E85CA5" w14:textId="7E375BEC"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Social and Human Service Assistants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B371B5B" w14:textId="0694E09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2,230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C213DBC" w14:textId="71F732F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2,476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24A40AC" w14:textId="40C5AF1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246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59FC534" w14:textId="4F82778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D5D10A4" w14:textId="1140416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112</w:t>
            </w:r>
          </w:p>
        </w:tc>
      </w:tr>
      <w:tr w:rsidR="00064FED" w:rsidRPr="000C18BD" w14:paraId="181D89DD"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80D0BD2" w14:textId="3F536DB6" w:rsidR="00064FED" w:rsidRPr="00D77C12" w:rsidRDefault="00064FED" w:rsidP="00FC3473">
            <w:pPr>
              <w:pStyle w:val="Tablenormalleft"/>
              <w:keepNext w:val="0"/>
              <w:widowControl w:val="0"/>
              <w:jc w:val="left"/>
              <w:rPr>
                <w:szCs w:val="18"/>
              </w:rPr>
            </w:pPr>
            <w:r w:rsidRPr="00BF6871">
              <w:t>25-1099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78B4BE2" w14:textId="1024A302"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Postsecondary Teachers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5EAF9B6" w14:textId="32759CBD"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4,570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27AA870" w14:textId="6804678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5,080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69CAB20" w14:textId="02ECCBE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510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35DCDAF" w14:textId="0430BBC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0A86AFF" w14:textId="6FACAE5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176</w:t>
            </w:r>
          </w:p>
        </w:tc>
      </w:tr>
      <w:tr w:rsidR="00064FED" w:rsidRPr="000C18BD" w14:paraId="4CE99866"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03E92DD" w14:textId="52BBE36D" w:rsidR="00064FED" w:rsidRPr="00D77C12" w:rsidRDefault="00064FED" w:rsidP="00FC3473">
            <w:pPr>
              <w:pStyle w:val="Tablenormalleft"/>
              <w:keepNext w:val="0"/>
              <w:widowControl w:val="0"/>
              <w:jc w:val="left"/>
              <w:rPr>
                <w:szCs w:val="18"/>
              </w:rPr>
            </w:pPr>
            <w:r w:rsidRPr="00BF6871">
              <w:t>25-2011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B950F3D" w14:textId="51721802"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Preschool Teachers, Except Special Education</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07660AA" w14:textId="78C6134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2,278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8673ADE" w14:textId="07CAAB0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2,420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B4A19B5" w14:textId="3D41A8E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142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4C92466" w14:textId="69FE73D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3862943" w14:textId="09FC822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96</w:t>
            </w:r>
          </w:p>
        </w:tc>
      </w:tr>
      <w:tr w:rsidR="00064FED" w:rsidRPr="000C18BD" w14:paraId="1D92BBF8"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8886F93" w14:textId="7324B816" w:rsidR="00064FED" w:rsidRPr="00D77C12" w:rsidRDefault="00064FED" w:rsidP="00FC3473">
            <w:pPr>
              <w:pStyle w:val="Tablenormalleft"/>
              <w:keepNext w:val="0"/>
              <w:widowControl w:val="0"/>
              <w:jc w:val="left"/>
              <w:rPr>
                <w:szCs w:val="18"/>
              </w:rPr>
            </w:pPr>
            <w:r w:rsidRPr="00BF6871">
              <w:t>25-2012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52D312B" w14:textId="2284F6EC"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Kindergarten Teachers, Except Special Education</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1C42580" w14:textId="6E7E407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1,310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CDF620A" w14:textId="55AFF34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1,420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0C0D880" w14:textId="40F4A2C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110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13E692F" w14:textId="23D6818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256233D" w14:textId="7EAAAF2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61</w:t>
            </w:r>
          </w:p>
        </w:tc>
      </w:tr>
      <w:tr w:rsidR="00064FED" w:rsidRPr="000C18BD" w14:paraId="1D66EBF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141E6A6" w14:textId="4EAE405E" w:rsidR="00064FED" w:rsidRPr="00D77C12" w:rsidRDefault="00064FED" w:rsidP="00FC3473">
            <w:pPr>
              <w:pStyle w:val="Tablenormalleft"/>
              <w:keepNext w:val="0"/>
              <w:widowControl w:val="0"/>
              <w:jc w:val="left"/>
              <w:rPr>
                <w:szCs w:val="18"/>
              </w:rPr>
            </w:pPr>
            <w:r w:rsidRPr="00BF6871">
              <w:t>25-2022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83A21B4" w14:textId="1DEDA0F3"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Middle School Teachers, Except Special and Career/Technical Education</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92BE775" w14:textId="166656C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2,818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45B5117" w14:textId="72CB118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3,070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E42B42C" w14:textId="0599452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252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006ED80" w14:textId="41F8D97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9%</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4D22875" w14:textId="6D8A466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116</w:t>
            </w:r>
          </w:p>
        </w:tc>
      </w:tr>
      <w:tr w:rsidR="00064FED" w:rsidRPr="000C18BD" w14:paraId="7A123C52"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07840CC" w14:textId="2B1080A7" w:rsidR="00064FED" w:rsidRPr="00D77C12" w:rsidRDefault="00064FED" w:rsidP="00FC3473">
            <w:pPr>
              <w:pStyle w:val="Tablenormalleft"/>
              <w:keepNext w:val="0"/>
              <w:widowControl w:val="0"/>
              <w:jc w:val="left"/>
              <w:rPr>
                <w:szCs w:val="18"/>
              </w:rPr>
            </w:pPr>
            <w:r w:rsidRPr="00BF6871">
              <w:t>25-2031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05A9D8F" w14:textId="12B18E44"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Secondary School Teachers, Except Special and Career/Technical Education</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F5B73C7" w14:textId="1185D9D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5,516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2758AA9" w14:textId="1035577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5,801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255486B" w14:textId="32E7EFE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285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CC7EE3D" w14:textId="15C0918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D0B6AF0" w14:textId="1FF5D84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213</w:t>
            </w:r>
          </w:p>
        </w:tc>
      </w:tr>
      <w:tr w:rsidR="00064FED" w:rsidRPr="000C18BD" w14:paraId="052EA73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8A10C67" w14:textId="3A426037" w:rsidR="00064FED" w:rsidRPr="00D77C12" w:rsidRDefault="00064FED" w:rsidP="00FC3473">
            <w:pPr>
              <w:pStyle w:val="Tablenormalleft"/>
              <w:keepNext w:val="0"/>
              <w:widowControl w:val="0"/>
              <w:jc w:val="left"/>
              <w:rPr>
                <w:szCs w:val="18"/>
              </w:rPr>
            </w:pPr>
            <w:r w:rsidRPr="00BF6871">
              <w:t>25-2051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5659393" w14:textId="738A75F5"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Special Education Teachers, Preschool</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4DB452B" w14:textId="15AD7A4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207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F9697F" w14:textId="2B35557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223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D511609" w14:textId="2E7E821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AC73C80" w14:textId="341C6D8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868BD30" w14:textId="09A1D94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7</w:t>
            </w:r>
          </w:p>
        </w:tc>
      </w:tr>
      <w:tr w:rsidR="00064FED" w:rsidRPr="000C18BD" w14:paraId="4F10DC41"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9D2AFF7" w14:textId="09918C3E" w:rsidR="00064FED" w:rsidRPr="00D77C12" w:rsidRDefault="00064FED" w:rsidP="00FC3473">
            <w:pPr>
              <w:pStyle w:val="Tablenormalleft"/>
              <w:keepNext w:val="0"/>
              <w:widowControl w:val="0"/>
              <w:jc w:val="left"/>
              <w:rPr>
                <w:szCs w:val="18"/>
              </w:rPr>
            </w:pPr>
            <w:r w:rsidRPr="00BF6871">
              <w:t>25-2052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2B58AA5" w14:textId="210227F1"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Special Education Teachers, Kindergarten and Elementary School</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994B5B5" w14:textId="585C26E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662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90BAB74" w14:textId="5308271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707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FBD8504" w14:textId="2DC3C4F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45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4A4B84E" w14:textId="75EF4AD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E3F579D" w14:textId="3E35EA2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21</w:t>
            </w:r>
          </w:p>
        </w:tc>
      </w:tr>
      <w:tr w:rsidR="00064FED" w:rsidRPr="000C18BD" w14:paraId="3F40C7B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noWrap/>
          </w:tcPr>
          <w:p w14:paraId="47F550F4" w14:textId="7C72D9A4" w:rsidR="00064FED" w:rsidRPr="00D77C12" w:rsidRDefault="00064FED" w:rsidP="00FC3473">
            <w:pPr>
              <w:pStyle w:val="Tablenormalleft"/>
              <w:keepNext w:val="0"/>
              <w:widowControl w:val="0"/>
              <w:jc w:val="left"/>
              <w:rPr>
                <w:szCs w:val="18"/>
              </w:rPr>
            </w:pPr>
            <w:r w:rsidRPr="00BF6871">
              <w:t>25-9021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noWrap/>
          </w:tcPr>
          <w:p w14:paraId="292F86D8" w14:textId="72E213F4"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Farm and Home Management Advisors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noWrap/>
          </w:tcPr>
          <w:p w14:paraId="1F54DD05" w14:textId="1CFA2EF7" w:rsidR="00064FED" w:rsidRPr="00D77C12" w:rsidRDefault="00064FED" w:rsidP="00242A91">
            <w:pPr>
              <w:pStyle w:val="Tablenormalleft"/>
              <w:keepNext w:val="0"/>
              <w:widowControl w:val="0"/>
              <w:jc w:val="right"/>
              <w:cnfStyle w:val="000000100000" w:firstRow="0" w:lastRow="0" w:firstColumn="0" w:lastColumn="0" w:oddVBand="0" w:evenVBand="0" w:oddHBand="1" w:evenHBand="0" w:firstRowFirstColumn="0" w:firstRowLastColumn="0" w:lastRowFirstColumn="0" w:lastRowLastColumn="0"/>
              <w:rPr>
                <w:szCs w:val="18"/>
              </w:rPr>
            </w:pPr>
            <w:r w:rsidRPr="00BF6871">
              <w:t xml:space="preserve"> 16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noWrap/>
          </w:tcPr>
          <w:p w14:paraId="15AFC669" w14:textId="27F98AA8" w:rsidR="00064FED" w:rsidRPr="00D77C12" w:rsidRDefault="00064FED" w:rsidP="00242A91">
            <w:pPr>
              <w:pStyle w:val="Tablenormalleft"/>
              <w:keepNext w:val="0"/>
              <w:widowControl w:val="0"/>
              <w:jc w:val="right"/>
              <w:cnfStyle w:val="000000100000" w:firstRow="0" w:lastRow="0" w:firstColumn="0" w:lastColumn="0" w:oddVBand="0" w:evenVBand="0" w:oddHBand="1" w:evenHBand="0" w:firstRowFirstColumn="0" w:firstRowLastColumn="0" w:lastRowFirstColumn="0" w:lastRowLastColumn="0"/>
              <w:rPr>
                <w:szCs w:val="18"/>
              </w:rPr>
            </w:pPr>
            <w:r w:rsidRPr="00BF6871">
              <w:t xml:space="preserve"> 18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noWrap/>
          </w:tcPr>
          <w:p w14:paraId="135B6976" w14:textId="2B4B22E4" w:rsidR="00064FED" w:rsidRPr="00D77C12" w:rsidRDefault="00064FED" w:rsidP="00242A91">
            <w:pPr>
              <w:pStyle w:val="Tablenormalleft"/>
              <w:keepNext w:val="0"/>
              <w:widowControl w:val="0"/>
              <w:jc w:val="right"/>
              <w:cnfStyle w:val="000000100000" w:firstRow="0" w:lastRow="0" w:firstColumn="0" w:lastColumn="0" w:oddVBand="0" w:evenVBand="0" w:oddHBand="1" w:evenHBand="0" w:firstRowFirstColumn="0" w:firstRowLastColumn="0" w:lastRowFirstColumn="0" w:lastRowLastColumn="0"/>
              <w:rPr>
                <w:szCs w:val="18"/>
              </w:rPr>
            </w:pPr>
            <w:r w:rsidRPr="00BF6871">
              <w:t xml:space="preserve">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noWrap/>
          </w:tcPr>
          <w:p w14:paraId="34E99A00" w14:textId="47F38E6D" w:rsidR="00064FED" w:rsidRPr="00D77C12" w:rsidRDefault="00064FED" w:rsidP="00242A91">
            <w:pPr>
              <w:pStyle w:val="Tablenormalleft"/>
              <w:keepNext w:val="0"/>
              <w:widowControl w:val="0"/>
              <w:jc w:val="right"/>
              <w:cnfStyle w:val="000000100000" w:firstRow="0" w:lastRow="0" w:firstColumn="0" w:lastColumn="0" w:oddVBand="0" w:evenVBand="0" w:oddHBand="1" w:evenHBand="0" w:firstRowFirstColumn="0" w:firstRowLastColumn="0" w:lastRowFirstColumn="0" w:lastRowLastColumn="0"/>
              <w:rPr>
                <w:szCs w:val="18"/>
              </w:rPr>
            </w:pPr>
            <w:r w:rsidRPr="00BF6871">
              <w:t>13%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noWrap/>
          </w:tcPr>
          <w:p w14:paraId="00C5CC71" w14:textId="088BB955" w:rsidR="00064FED" w:rsidRPr="00D77C12" w:rsidRDefault="00064FED" w:rsidP="00242A91">
            <w:pPr>
              <w:pStyle w:val="Tablenormalleft"/>
              <w:keepNext w:val="0"/>
              <w:widowControl w:val="0"/>
              <w:jc w:val="right"/>
              <w:cnfStyle w:val="000000100000" w:firstRow="0" w:lastRow="0" w:firstColumn="0" w:lastColumn="0" w:oddVBand="0" w:evenVBand="0" w:oddHBand="1" w:evenHBand="0" w:firstRowFirstColumn="0" w:firstRowLastColumn="0" w:lastRowFirstColumn="0" w:lastRowLastColumn="0"/>
              <w:rPr>
                <w:szCs w:val="18"/>
              </w:rPr>
            </w:pPr>
            <w:r w:rsidRPr="00BF6871">
              <w:t>0</w:t>
            </w:r>
          </w:p>
        </w:tc>
      </w:tr>
      <w:tr w:rsidR="00064FED" w:rsidRPr="000C18BD" w14:paraId="05B329D5"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4DE889F" w14:textId="1BE5C0E4" w:rsidR="00064FED" w:rsidRPr="00D77C12" w:rsidRDefault="00064FED" w:rsidP="00FC3473">
            <w:pPr>
              <w:pStyle w:val="Tablenormalleft"/>
              <w:keepNext w:val="0"/>
              <w:widowControl w:val="0"/>
              <w:jc w:val="left"/>
              <w:rPr>
                <w:szCs w:val="18"/>
              </w:rPr>
            </w:pPr>
            <w:r w:rsidRPr="00BF6871">
              <w:t>27-1011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82C21E3" w14:textId="395BC3CC"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Art Directors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01CF168" w14:textId="3057FBE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137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1660ADC" w14:textId="2F4DF90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138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2BB58DD" w14:textId="6F055E4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84CDFF1" w14:textId="2CBC95F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837F4B2" w14:textId="549EF95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w:t>
            </w:r>
          </w:p>
        </w:tc>
      </w:tr>
      <w:tr w:rsidR="00064FED" w:rsidRPr="000C18BD" w14:paraId="40CB1AB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55889B3" w14:textId="6FB3143E" w:rsidR="00064FED" w:rsidRPr="00D77C12" w:rsidRDefault="00064FED" w:rsidP="00FC3473">
            <w:pPr>
              <w:pStyle w:val="Tablenormalleft"/>
              <w:keepNext w:val="0"/>
              <w:widowControl w:val="0"/>
              <w:jc w:val="left"/>
              <w:rPr>
                <w:szCs w:val="18"/>
              </w:rPr>
            </w:pPr>
            <w:r w:rsidRPr="00BF6871">
              <w:t>27-1012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0A77024" w14:textId="171AC1A1"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Craft Artists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286064B" w14:textId="54EF880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81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AC56C5" w14:textId="193FE65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0899024" w14:textId="4C6611A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86BA758" w14:textId="06D6C31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4FFB4E1" w14:textId="6EF3B91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r>
      <w:tr w:rsidR="00064FED" w:rsidRPr="000C18BD" w14:paraId="6D555239"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CDC04B" w14:textId="15F62EBD" w:rsidR="00064FED" w:rsidRPr="00D77C12" w:rsidRDefault="00064FED" w:rsidP="00FC3473">
            <w:pPr>
              <w:pStyle w:val="Tablenormalleft"/>
              <w:keepNext w:val="0"/>
              <w:widowControl w:val="0"/>
              <w:jc w:val="left"/>
              <w:rPr>
                <w:szCs w:val="18"/>
              </w:rPr>
            </w:pPr>
            <w:r w:rsidRPr="00BF6871">
              <w:t>27-1013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256CBD8" w14:textId="635C1702"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Fine Artists, Including Painters, Sculptors, and Illustrators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6D70C10" w14:textId="1142CAE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2F69F8C" w14:textId="7D7E5D5D"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A53A09E" w14:textId="2B07A00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545904F" w14:textId="7053AF0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8BE0868" w14:textId="0E04CA6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0</w:t>
            </w:r>
          </w:p>
        </w:tc>
      </w:tr>
      <w:tr w:rsidR="00064FED" w:rsidRPr="000C18BD" w14:paraId="5831A8E2"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D4049BE" w14:textId="43911958" w:rsidR="00064FED" w:rsidRPr="00D77C12" w:rsidRDefault="00064FED" w:rsidP="00FC3473">
            <w:pPr>
              <w:pStyle w:val="Tablenormalleft"/>
              <w:keepNext w:val="0"/>
              <w:widowControl w:val="0"/>
              <w:jc w:val="left"/>
              <w:rPr>
                <w:szCs w:val="18"/>
              </w:rPr>
            </w:pPr>
            <w:r w:rsidRPr="00BF6871">
              <w:t>27-1014</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659F396" w14:textId="26D4004B"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Multimedia Artists and Animators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3E29B2E" w14:textId="025BCA7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157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7681DD0" w14:textId="482040F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158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04C6FD5" w14:textId="16ED55B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F6B0BDB" w14:textId="704EFB1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8B2A35A" w14:textId="791063B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r>
      <w:tr w:rsidR="00064FED" w:rsidRPr="000C18BD" w14:paraId="3CB503CB"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428C33E" w14:textId="17F6A9AB" w:rsidR="00064FED" w:rsidRPr="00D77C12" w:rsidRDefault="00064FED" w:rsidP="00FC3473">
            <w:pPr>
              <w:pStyle w:val="Tablenormalleft"/>
              <w:keepNext w:val="0"/>
              <w:widowControl w:val="0"/>
              <w:jc w:val="left"/>
              <w:rPr>
                <w:szCs w:val="18"/>
              </w:rPr>
            </w:pPr>
            <w:r w:rsidRPr="00BF6871">
              <w:t>27-1019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AD6CC89" w14:textId="2CD4201B"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Artists and Related Workers,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D71614A" w14:textId="1F1552C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1AE0C3A" w14:textId="006D4F1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D17FDB1" w14:textId="6B75B51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6C2300" w14:textId="3ADBA19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B879D94" w14:textId="0F2B5DD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w:t>
            </w:r>
          </w:p>
        </w:tc>
      </w:tr>
      <w:tr w:rsidR="00064FED" w:rsidRPr="000C18BD" w14:paraId="2D6355D9"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75F5219" w14:textId="0578EC9A" w:rsidR="00064FED" w:rsidRPr="00D77C12" w:rsidRDefault="00064FED" w:rsidP="00FC3473">
            <w:pPr>
              <w:pStyle w:val="Tablenormalleft"/>
              <w:keepNext w:val="0"/>
              <w:widowControl w:val="0"/>
              <w:jc w:val="left"/>
              <w:rPr>
                <w:szCs w:val="18"/>
              </w:rPr>
            </w:pPr>
            <w:r w:rsidRPr="00BF6871">
              <w:t>27-1021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EDD4A44" w14:textId="4D5C2192" w:rsidR="00064FED" w:rsidRPr="00D77C12" w:rsidRDefault="00FD1431"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Comme</w:t>
            </w:r>
            <w:r>
              <w:t>rci</w:t>
            </w:r>
            <w:r w:rsidRPr="00BF6871">
              <w:t>al</w:t>
            </w:r>
            <w:r w:rsidR="00064FED" w:rsidRPr="00BF6871">
              <w:t xml:space="preserve"> and Industrial Designers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A7713F5" w14:textId="3F6DEB1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5455E39" w14:textId="0525332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13C575F" w14:textId="224564D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2F0A6DD" w14:textId="55D9734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53E2D79" w14:textId="08E6F64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w:t>
            </w:r>
          </w:p>
        </w:tc>
      </w:tr>
      <w:tr w:rsidR="00064FED" w:rsidRPr="000C18BD" w14:paraId="505C1A18"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6E125F8" w14:textId="66C3C741" w:rsidR="00064FED" w:rsidRPr="00D77C12" w:rsidRDefault="00064FED" w:rsidP="00FC3473">
            <w:pPr>
              <w:pStyle w:val="Tablenormalleft"/>
              <w:keepNext w:val="0"/>
              <w:widowControl w:val="0"/>
              <w:jc w:val="left"/>
              <w:rPr>
                <w:szCs w:val="18"/>
              </w:rPr>
            </w:pPr>
            <w:r w:rsidRPr="00BF6871">
              <w:t>27-1024</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67A8785" w14:textId="042216FB"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Graphic Designers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5ADA66C" w14:textId="49D81DD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605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1D6646A" w14:textId="54849AB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606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8D6EEA1" w14:textId="2B860B5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88D7234" w14:textId="05BF4D3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562F4F4" w14:textId="27AD2F2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19</w:t>
            </w:r>
          </w:p>
        </w:tc>
      </w:tr>
      <w:tr w:rsidR="00064FED" w:rsidRPr="000C18BD" w14:paraId="5229CA71"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861E24F" w14:textId="1F0F28CE" w:rsidR="00064FED" w:rsidRPr="00D77C12" w:rsidRDefault="00064FED" w:rsidP="00FC3473">
            <w:pPr>
              <w:pStyle w:val="Tablenormalleft"/>
              <w:keepNext w:val="0"/>
              <w:widowControl w:val="0"/>
              <w:jc w:val="left"/>
              <w:rPr>
                <w:szCs w:val="18"/>
              </w:rPr>
            </w:pPr>
            <w:r w:rsidRPr="00BF6871">
              <w:t>27-2022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E33D780" w14:textId="61964C3A"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Coaches and Scouts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5DF2B6F" w14:textId="6FC4717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662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D92044F" w14:textId="39AE2D2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719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5BC3360" w14:textId="3214AEA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57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00BBA32" w14:textId="6C1ACE1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9%</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CF30594" w14:textId="6A97C7E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32</w:t>
            </w:r>
          </w:p>
        </w:tc>
      </w:tr>
      <w:tr w:rsidR="00064FED" w:rsidRPr="000C18BD" w14:paraId="095945B1"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8483C6D" w14:textId="1C3410BE" w:rsidR="00064FED" w:rsidRPr="00D77C12" w:rsidRDefault="00064FED" w:rsidP="00FC3473">
            <w:pPr>
              <w:pStyle w:val="Tablenormalleft"/>
              <w:keepNext w:val="0"/>
              <w:widowControl w:val="0"/>
              <w:jc w:val="left"/>
              <w:rPr>
                <w:szCs w:val="18"/>
              </w:rPr>
            </w:pPr>
            <w:r w:rsidRPr="00BF6871">
              <w:t>27-2023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642E03C" w14:textId="1C8F522E"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Umpires, Referees, and Other Sports Officials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EA1584D" w14:textId="461B22D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EC58194" w14:textId="34883FB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73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A08CB21" w14:textId="3299297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E658BF3" w14:textId="51432AB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8B6D6C0" w14:textId="4805EA9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3</w:t>
            </w:r>
          </w:p>
        </w:tc>
      </w:tr>
      <w:tr w:rsidR="00064FED" w:rsidRPr="000C18BD" w14:paraId="2CF2AEE2"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0D344C8" w14:textId="6A51CFB1" w:rsidR="00064FED" w:rsidRPr="00D77C12" w:rsidRDefault="00064FED" w:rsidP="00FC3473">
            <w:pPr>
              <w:pStyle w:val="Tablenormalleft"/>
              <w:keepNext w:val="0"/>
              <w:widowControl w:val="0"/>
              <w:jc w:val="left"/>
              <w:rPr>
                <w:szCs w:val="18"/>
              </w:rPr>
            </w:pPr>
            <w:r w:rsidRPr="00BF6871">
              <w:t>27-2042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4029051" w14:textId="24FE979A"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Musicians and Singers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16716DD" w14:textId="72BDA71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527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AE51945" w14:textId="3AE6B6B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533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2071EA4" w14:textId="6B047F8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62F6AB8" w14:textId="12997DC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41DF953" w14:textId="7E6DA4F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17</w:t>
            </w:r>
          </w:p>
        </w:tc>
      </w:tr>
      <w:tr w:rsidR="00064FED" w:rsidRPr="000C18BD" w14:paraId="362433A2"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752BE3BF" w14:textId="581FEECB" w:rsidR="00064FED" w:rsidRPr="00D77C12" w:rsidRDefault="00064FED" w:rsidP="00FC3473">
            <w:pPr>
              <w:pStyle w:val="Tablenormalleft"/>
              <w:keepNext w:val="0"/>
              <w:widowControl w:val="0"/>
              <w:jc w:val="left"/>
              <w:rPr>
                <w:szCs w:val="18"/>
              </w:rPr>
            </w:pPr>
            <w:r w:rsidRPr="00BF6871">
              <w:t>27-3012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FCD19D0" w14:textId="3DB5C616"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Public Address System and Other Announcers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A640AF7" w14:textId="336F269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B058DBC" w14:textId="79146C1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F1B1D45" w14:textId="450FE35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0E3EADD8" w14:textId="0B8F79A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59FFFC7" w14:textId="5DC491E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w:t>
            </w:r>
          </w:p>
        </w:tc>
      </w:tr>
      <w:tr w:rsidR="00064FED" w:rsidRPr="000C18BD" w14:paraId="5149C901"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25DDAC7D" w14:textId="7C0940DA" w:rsidR="00064FED" w:rsidRPr="00D77C12" w:rsidRDefault="00064FED" w:rsidP="00FC3473">
            <w:pPr>
              <w:pStyle w:val="Tablenormalleft"/>
              <w:keepNext w:val="0"/>
              <w:widowControl w:val="0"/>
              <w:jc w:val="left"/>
              <w:rPr>
                <w:szCs w:val="18"/>
              </w:rPr>
            </w:pPr>
            <w:r w:rsidRPr="00BF6871">
              <w:t>27-3031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42EFAB2" w14:textId="3698FC42"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Public Relations Specialists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59545CD9" w14:textId="24C0DE7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428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147AD70A" w14:textId="5416026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474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479844D1" w14:textId="7C0B9C4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46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3794E9E2" w14:textId="7261727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hideMark/>
          </w:tcPr>
          <w:p w14:paraId="66DD426A" w14:textId="7814357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16</w:t>
            </w:r>
          </w:p>
        </w:tc>
      </w:tr>
      <w:tr w:rsidR="00064FED" w:rsidRPr="000C18BD" w14:paraId="77E23DC9"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EB8F1E" w14:textId="51111D37" w:rsidR="00064FED" w:rsidRPr="00D77C12" w:rsidRDefault="00064FED" w:rsidP="00FC3473">
            <w:pPr>
              <w:pStyle w:val="Tablenormalleft"/>
              <w:keepNext w:val="0"/>
              <w:widowControl w:val="0"/>
              <w:jc w:val="left"/>
              <w:rPr>
                <w:szCs w:val="18"/>
              </w:rPr>
            </w:pPr>
            <w:r w:rsidRPr="00BF6871">
              <w:t>27-3043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DE27FF" w14:textId="7F044ADD"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Writers and Authors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CB14105" w14:textId="6CD63E4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297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7183F6B" w14:textId="588D3B1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306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45ED92" w14:textId="13D5520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DB7E410" w14:textId="51EB441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2B5148E" w14:textId="1A11D16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9</w:t>
            </w:r>
          </w:p>
        </w:tc>
      </w:tr>
      <w:tr w:rsidR="00064FED" w:rsidRPr="000C18BD" w14:paraId="2F5DE69C"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7F390EE" w14:textId="20168A25" w:rsidR="00064FED" w:rsidRPr="00D77C12" w:rsidRDefault="00064FED" w:rsidP="00FC3473">
            <w:pPr>
              <w:pStyle w:val="Tablenormalleft"/>
              <w:keepNext w:val="0"/>
              <w:widowControl w:val="0"/>
              <w:jc w:val="left"/>
              <w:rPr>
                <w:szCs w:val="18"/>
              </w:rPr>
            </w:pPr>
            <w:r w:rsidRPr="00BF6871">
              <w:t>27-3091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0BDD72" w14:textId="75D1B86A"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Interpreters and Translators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03B0FDF" w14:textId="5A63848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400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4DC8CFE" w14:textId="2AFAF14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454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C19C1D7" w14:textId="3E9D782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54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32E3F94" w14:textId="16E4223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49EEE1" w14:textId="439E3B9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17</w:t>
            </w:r>
          </w:p>
        </w:tc>
      </w:tr>
      <w:tr w:rsidR="00064FED" w:rsidRPr="000C18BD" w14:paraId="0E035BF9"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0326B6D" w14:textId="452C9E36" w:rsidR="00064FED" w:rsidRPr="00D77C12" w:rsidRDefault="00064FED" w:rsidP="00FC3473">
            <w:pPr>
              <w:pStyle w:val="Tablenormalleft"/>
              <w:keepNext w:val="0"/>
              <w:widowControl w:val="0"/>
              <w:jc w:val="left"/>
              <w:rPr>
                <w:szCs w:val="18"/>
              </w:rPr>
            </w:pPr>
            <w:r w:rsidRPr="00BF6871">
              <w:t>29-1141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9502332" w14:textId="2FC679D5"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Registered Nurses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262EC89" w14:textId="6FEC119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10,324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8192687" w14:textId="0CF16FC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11,609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7E7CBF4" w14:textId="751C8DA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1,285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2883159" w14:textId="607B970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D9F7C6" w14:textId="564A26F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474</w:t>
            </w:r>
          </w:p>
        </w:tc>
      </w:tr>
      <w:tr w:rsidR="00064FED" w:rsidRPr="000C18BD" w14:paraId="2DC23F89"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0DD359F" w14:textId="65B15826" w:rsidR="00064FED" w:rsidRPr="00D77C12" w:rsidRDefault="00064FED" w:rsidP="00FC3473">
            <w:pPr>
              <w:pStyle w:val="Tablenormalleft"/>
              <w:keepNext w:val="0"/>
              <w:widowControl w:val="0"/>
              <w:jc w:val="left"/>
              <w:rPr>
                <w:szCs w:val="18"/>
              </w:rPr>
            </w:pPr>
            <w:r w:rsidRPr="00BF6871">
              <w:t>29-2021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15ED486" w14:textId="22F5FD5F"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Dental Hygienists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0C08A0" w14:textId="45ACF03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716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B3A3D5" w14:textId="0C1745D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777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CA12E0B" w14:textId="2B786EC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61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E704C03" w14:textId="05789D2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9%</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20FE23" w14:textId="3DC1449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32</w:t>
            </w:r>
          </w:p>
        </w:tc>
      </w:tr>
      <w:tr w:rsidR="00064FED" w:rsidRPr="000C18BD" w14:paraId="78B08F8D"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629D96" w14:textId="0848E92B" w:rsidR="00064FED" w:rsidRPr="00D77C12" w:rsidRDefault="00064FED" w:rsidP="00FC3473">
            <w:pPr>
              <w:pStyle w:val="Tablenormalleft"/>
              <w:keepNext w:val="0"/>
              <w:widowControl w:val="0"/>
              <w:jc w:val="left"/>
              <w:rPr>
                <w:szCs w:val="18"/>
              </w:rPr>
            </w:pPr>
            <w:r w:rsidRPr="00BF6871">
              <w:t>29-2061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7446BB8" w14:textId="77B810DE"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Licensed Practical and Licensed Vocational Nurses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6E555B9" w14:textId="2B82CB4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2,627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71678EB" w14:textId="2DB22D6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2,985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429999F" w14:textId="1FDF99E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358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AF7692F" w14:textId="29D2228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8B3D05" w14:textId="0FE09FD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142</w:t>
            </w:r>
          </w:p>
        </w:tc>
      </w:tr>
      <w:tr w:rsidR="00064FED" w:rsidRPr="000C18BD" w14:paraId="2817D32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5DECF4" w14:textId="6BBE20F5" w:rsidR="00064FED" w:rsidRPr="00D77C12" w:rsidRDefault="00064FED" w:rsidP="00FC3473">
            <w:pPr>
              <w:pStyle w:val="Tablenormalleft"/>
              <w:keepNext w:val="0"/>
              <w:widowControl w:val="0"/>
              <w:jc w:val="left"/>
              <w:rPr>
                <w:szCs w:val="18"/>
              </w:rPr>
            </w:pPr>
            <w:r w:rsidRPr="00BF6871">
              <w:t>31-1013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6581385" w14:textId="2FBA4618"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Psychiatric Aides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BF1CF13" w14:textId="16EE828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133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6A1EC1C" w14:textId="059CBFA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144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EBD0B3" w14:textId="301F4CA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DB25DC3" w14:textId="2ED158E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EC3C98C" w14:textId="79973A23"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r>
      <w:tr w:rsidR="00064FED" w:rsidRPr="000C18BD" w14:paraId="46CADE06"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31607CB" w14:textId="0776B16F" w:rsidR="00064FED" w:rsidRPr="00D77C12" w:rsidRDefault="00064FED" w:rsidP="00FC3473">
            <w:pPr>
              <w:pStyle w:val="Tablenormalleft"/>
              <w:keepNext w:val="0"/>
              <w:widowControl w:val="0"/>
              <w:jc w:val="left"/>
              <w:rPr>
                <w:szCs w:val="18"/>
              </w:rPr>
            </w:pPr>
            <w:r w:rsidRPr="00BF6871">
              <w:t>31-1014</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F35B4DC" w14:textId="5D68EBF6"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Nursing Assistants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A684C03" w14:textId="7E9E076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4,783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39051B" w14:textId="6643689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5,430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C859395" w14:textId="476FC8A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647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B7B8C80" w14:textId="59E26BF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DC9EE60" w14:textId="777374F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229</w:t>
            </w:r>
          </w:p>
        </w:tc>
      </w:tr>
      <w:tr w:rsidR="00064FED" w:rsidRPr="000C18BD" w14:paraId="3077E121"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6142AF8" w14:textId="4EC62BF2" w:rsidR="00064FED" w:rsidRPr="00D77C12" w:rsidRDefault="00064FED" w:rsidP="00FC3473">
            <w:pPr>
              <w:pStyle w:val="Tablenormalleft"/>
              <w:keepNext w:val="0"/>
              <w:widowControl w:val="0"/>
              <w:jc w:val="left"/>
              <w:rPr>
                <w:szCs w:val="18"/>
              </w:rPr>
            </w:pPr>
            <w:r w:rsidRPr="00BF6871">
              <w:t>31-9091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EC14FE6" w14:textId="028C2AF4"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Dental Assistants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23024C" w14:textId="1CDBE18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1,619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F1BEBFD" w14:textId="59008DD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1,705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D38FC3D" w14:textId="0986522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86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3173E5" w14:textId="31D022E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A37F9D2" w14:textId="39D0AD4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52</w:t>
            </w:r>
          </w:p>
        </w:tc>
      </w:tr>
      <w:tr w:rsidR="00064FED" w:rsidRPr="000C18BD" w14:paraId="098B0BBD"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43B33D" w14:textId="009B3599" w:rsidR="00064FED" w:rsidRPr="00D77C12" w:rsidRDefault="00064FED" w:rsidP="00FC3473">
            <w:pPr>
              <w:pStyle w:val="Tablenormalleft"/>
              <w:keepNext w:val="0"/>
              <w:widowControl w:val="0"/>
              <w:jc w:val="left"/>
              <w:rPr>
                <w:szCs w:val="18"/>
              </w:rPr>
            </w:pPr>
            <w:r w:rsidRPr="00BF6871">
              <w:t>31-9092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400825" w14:textId="5D4E5AD3"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Medical Assistants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855D3E" w14:textId="5960A3A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3,986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756D948" w14:textId="3CFA1E2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4,431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DA7D1E" w14:textId="7B3C528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445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DFEB933" w14:textId="34DAEB6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139014" w14:textId="2D16140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172</w:t>
            </w:r>
          </w:p>
        </w:tc>
      </w:tr>
      <w:tr w:rsidR="00064FED" w:rsidRPr="000C18BD" w14:paraId="245FCF20"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EB4B6AC" w14:textId="215F8101" w:rsidR="00064FED" w:rsidRPr="00D77C12" w:rsidRDefault="00064FED" w:rsidP="00FC3473">
            <w:pPr>
              <w:pStyle w:val="Tablenormalleft"/>
              <w:keepNext w:val="0"/>
              <w:widowControl w:val="0"/>
              <w:jc w:val="left"/>
              <w:rPr>
                <w:szCs w:val="18"/>
              </w:rPr>
            </w:pPr>
            <w:r w:rsidRPr="00BF6871">
              <w:t>33-1012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D0BEB2" w14:textId="4F46A53F"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First-Line Supervisors of Police and Detectives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430A72E" w14:textId="44496BF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370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98A547F" w14:textId="6228E611"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397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D85C3C" w14:textId="17F8E08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9574A4F" w14:textId="7716869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4CA6A60" w14:textId="5842552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17</w:t>
            </w:r>
          </w:p>
        </w:tc>
      </w:tr>
      <w:tr w:rsidR="00064FED" w:rsidRPr="000C18BD" w14:paraId="6F42506C"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DE988CD" w14:textId="4E62C20B" w:rsidR="00064FED" w:rsidRPr="00D77C12" w:rsidRDefault="00064FED" w:rsidP="00FC3473">
            <w:pPr>
              <w:pStyle w:val="Tablenormalleft"/>
              <w:keepNext w:val="0"/>
              <w:widowControl w:val="0"/>
              <w:jc w:val="left"/>
              <w:rPr>
                <w:szCs w:val="18"/>
              </w:rPr>
            </w:pPr>
            <w:r w:rsidRPr="00BF6871">
              <w:t>33-3011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33203C1" w14:textId="4B7F1C5A"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Bailiffs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0C6D084" w14:textId="5D1548C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&lt;10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3A23C9" w14:textId="57111ED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&lt;10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F7B8299" w14:textId="6EA94A4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4E2AB5" w14:textId="7EC3B55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1C936A7" w14:textId="4F0D7F1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0</w:t>
            </w:r>
          </w:p>
        </w:tc>
      </w:tr>
      <w:tr w:rsidR="00064FED" w:rsidRPr="000C18BD" w14:paraId="4682CBC7"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5C45D26" w14:textId="0C265CE6" w:rsidR="00064FED" w:rsidRPr="00D77C12" w:rsidRDefault="00064FED" w:rsidP="00FC3473">
            <w:pPr>
              <w:pStyle w:val="Tablenormalleft"/>
              <w:keepNext w:val="0"/>
              <w:widowControl w:val="0"/>
              <w:jc w:val="left"/>
              <w:rPr>
                <w:szCs w:val="18"/>
              </w:rPr>
            </w:pPr>
            <w:r w:rsidRPr="00BF6871">
              <w:t>33-3021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9366BA6" w14:textId="7D322D57"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Detectives and Criminal Investigators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7CC87EA" w14:textId="3AAC9B5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371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C86CFDC" w14:textId="79E2813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390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AE0F912" w14:textId="4478473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C012B0" w14:textId="222A7E1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A99BA0A" w14:textId="7FA2128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12</w:t>
            </w:r>
          </w:p>
        </w:tc>
      </w:tr>
      <w:tr w:rsidR="00064FED" w:rsidRPr="000C18BD" w14:paraId="12A6547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D887B5" w14:textId="15EF451B" w:rsidR="00064FED" w:rsidRPr="00D77C12" w:rsidRDefault="00064FED" w:rsidP="00FC3473">
            <w:pPr>
              <w:pStyle w:val="Tablenormalleft"/>
              <w:keepNext w:val="0"/>
              <w:widowControl w:val="0"/>
              <w:jc w:val="left"/>
              <w:rPr>
                <w:szCs w:val="18"/>
              </w:rPr>
            </w:pPr>
            <w:r w:rsidRPr="00BF6871">
              <w:t>33-3051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DAF1DD" w14:textId="45C2B8C9"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Police and Sheriff's Patrol Officers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B7D6D3A" w14:textId="2D035AB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2,855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D3F78D" w14:textId="3E03105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3,023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FCCBFE1" w14:textId="496D373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168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CE9E48B" w14:textId="3AE6F44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3F17F1C" w14:textId="3C7018A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127</w:t>
            </w:r>
          </w:p>
        </w:tc>
      </w:tr>
      <w:tr w:rsidR="00064FED" w:rsidRPr="000C18BD" w14:paraId="524E461A"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A1D27E8" w14:textId="0FE0EEE7" w:rsidR="00064FED" w:rsidRPr="00D77C12" w:rsidRDefault="00064FED" w:rsidP="00FC3473">
            <w:pPr>
              <w:pStyle w:val="Tablenormalleft"/>
              <w:keepNext w:val="0"/>
              <w:widowControl w:val="0"/>
              <w:jc w:val="left"/>
              <w:rPr>
                <w:szCs w:val="18"/>
              </w:rPr>
            </w:pPr>
            <w:r w:rsidRPr="00BF6871">
              <w:t>33-9021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90DC00" w14:textId="19B1CA3B"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Private Detectives and Investigators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F54DB6C" w14:textId="4949B78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118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5727588" w14:textId="725FC55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135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13BE31" w14:textId="7090F63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7744B32" w14:textId="13F6FAF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3759E80" w14:textId="5451FCA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7</w:t>
            </w:r>
          </w:p>
        </w:tc>
      </w:tr>
      <w:tr w:rsidR="00064FED" w:rsidRPr="000C18BD" w14:paraId="29FAB796"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63B8E95" w14:textId="6BCEF415" w:rsidR="00064FED" w:rsidRPr="00D77C12" w:rsidRDefault="00064FED" w:rsidP="00FC3473">
            <w:pPr>
              <w:pStyle w:val="Tablenormalleft"/>
              <w:keepNext w:val="0"/>
              <w:widowControl w:val="0"/>
              <w:jc w:val="left"/>
              <w:rPr>
                <w:szCs w:val="18"/>
              </w:rPr>
            </w:pPr>
            <w:r w:rsidRPr="00BF6871">
              <w:t>33-9031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D9E77B" w14:textId="4F15F9FA"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Gaming Surveillance Officers and Gaming Investigators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392558A" w14:textId="0B997F1F"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E872A3" w14:textId="35B931B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27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382B973" w14:textId="5E89C302"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9112945" w14:textId="531542A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2693A9F" w14:textId="41DB46E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0</w:t>
            </w:r>
          </w:p>
        </w:tc>
      </w:tr>
      <w:tr w:rsidR="00064FED" w:rsidRPr="000C18BD" w14:paraId="63491ACB"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7C9E575" w14:textId="6DE3A391" w:rsidR="00064FED" w:rsidRPr="00D77C12" w:rsidRDefault="00064FED" w:rsidP="00FC3473">
            <w:pPr>
              <w:pStyle w:val="Tablenormalleft"/>
              <w:keepNext w:val="0"/>
              <w:widowControl w:val="0"/>
              <w:jc w:val="left"/>
              <w:rPr>
                <w:szCs w:val="18"/>
              </w:rPr>
            </w:pPr>
            <w:r w:rsidRPr="00BF6871">
              <w:t>37-1011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774AA1E" w14:textId="0E97833C"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First-Line Supervisors of Housekeeping and Janitorial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1AF4153" w14:textId="39DCC0B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733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69F3BB" w14:textId="2EC3880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795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B819F6" w14:textId="258B7CA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62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C8C1B7" w14:textId="65D590D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7BC7109" w14:textId="42833CF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32</w:t>
            </w:r>
          </w:p>
        </w:tc>
      </w:tr>
      <w:tr w:rsidR="00064FED" w:rsidRPr="000C18BD" w14:paraId="4B4CF62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8DE8212" w14:textId="4E2B9B8F" w:rsidR="00064FED" w:rsidRPr="00D77C12" w:rsidRDefault="00064FED" w:rsidP="00FC3473">
            <w:pPr>
              <w:pStyle w:val="Tablenormalleft"/>
              <w:keepNext w:val="0"/>
              <w:widowControl w:val="0"/>
              <w:jc w:val="left"/>
              <w:rPr>
                <w:szCs w:val="18"/>
              </w:rPr>
            </w:pPr>
            <w:r w:rsidRPr="00BF6871">
              <w:t>37-1012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B30D955" w14:textId="20E0BCB3"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 xml:space="preserve">First-Line Supervisors of Landscaping, Lawn Service, and </w:t>
            </w:r>
            <w:r w:rsidR="00FD1431" w:rsidRPr="00BF6871">
              <w:t>Grounds keeping</w:t>
            </w:r>
            <w:r w:rsidRPr="00BF6871">
              <w:t xml:space="preserve">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C0E8831" w14:textId="1F850F5B"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684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48B9272" w14:textId="09589A9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733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7E06AA" w14:textId="37D2995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49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2D28D23" w14:textId="5D92FC0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27D4856" w14:textId="037A4057"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18</w:t>
            </w:r>
          </w:p>
        </w:tc>
      </w:tr>
      <w:tr w:rsidR="00064FED" w:rsidRPr="000C18BD" w14:paraId="579D01A2"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65271E" w14:textId="03910AD6" w:rsidR="00064FED" w:rsidRPr="00D77C12" w:rsidRDefault="00064FED" w:rsidP="00FC3473">
            <w:pPr>
              <w:pStyle w:val="Tablenormalleft"/>
              <w:keepNext w:val="0"/>
              <w:widowControl w:val="0"/>
              <w:jc w:val="left"/>
              <w:rPr>
                <w:szCs w:val="18"/>
              </w:rPr>
            </w:pPr>
            <w:r w:rsidRPr="00BF6871">
              <w:t>37-3011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B9A629E" w14:textId="40BAE815"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 xml:space="preserve">Landscaping and </w:t>
            </w:r>
            <w:r w:rsidR="00FD1431" w:rsidRPr="00BF6871">
              <w:t>Grounds keeping</w:t>
            </w:r>
            <w:r w:rsidRPr="00BF6871">
              <w:t xml:space="preserve">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C6347E" w14:textId="11910FF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6,190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AD8B199" w14:textId="1C38F64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6,695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21FCBF" w14:textId="0DA6CE3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505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0E9EDC6" w14:textId="263BA13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539C39" w14:textId="3126B5A0"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266</w:t>
            </w:r>
          </w:p>
        </w:tc>
      </w:tr>
      <w:tr w:rsidR="00064FED" w:rsidRPr="000C18BD" w14:paraId="46AFEB9F"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E9D1D8F" w14:textId="23098F00" w:rsidR="00064FED" w:rsidRPr="00D77C12" w:rsidRDefault="00064FED" w:rsidP="00FC3473">
            <w:pPr>
              <w:pStyle w:val="Tablenormalleft"/>
              <w:keepNext w:val="0"/>
              <w:widowControl w:val="0"/>
              <w:jc w:val="left"/>
              <w:rPr>
                <w:szCs w:val="18"/>
              </w:rPr>
            </w:pPr>
            <w:r w:rsidRPr="00BF6871">
              <w:t>37-3012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C83D848" w14:textId="18B7CA91"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Pesticide Handlers, Sprayers, and Applicators, Vegetation</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0D1A1E" w14:textId="61219C4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443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AFFA8C" w14:textId="03B4D08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469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2B73E6" w14:textId="5B1E55E3"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26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60A0A62" w14:textId="4C1D741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A3D248C" w14:textId="4611F2B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18</w:t>
            </w:r>
          </w:p>
        </w:tc>
      </w:tr>
      <w:tr w:rsidR="00064FED" w:rsidRPr="000C18BD" w14:paraId="31131994"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9EAD470" w14:textId="1A5F94F6" w:rsidR="00064FED" w:rsidRPr="00D77C12" w:rsidRDefault="00064FED" w:rsidP="00FC3473">
            <w:pPr>
              <w:pStyle w:val="Tablenormalleft"/>
              <w:keepNext w:val="0"/>
              <w:widowControl w:val="0"/>
              <w:jc w:val="left"/>
              <w:rPr>
                <w:szCs w:val="18"/>
              </w:rPr>
            </w:pPr>
            <w:r w:rsidRPr="00BF6871">
              <w:t>37-3019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0E4869B" w14:textId="0C336DBC"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Grounds Maintenance Workers,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0CD1CF" w14:textId="6972B00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D9C273" w14:textId="59A6C02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5057DDB" w14:textId="28E2492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EBA30B8" w14:textId="5E968B8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7EBEDEA" w14:textId="15D378B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3</w:t>
            </w:r>
          </w:p>
        </w:tc>
      </w:tr>
      <w:tr w:rsidR="00064FED" w:rsidRPr="000C18BD" w14:paraId="2F8C4E0C"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D0CAEAD" w14:textId="2EA2AF89" w:rsidR="00064FED" w:rsidRPr="00D77C12" w:rsidRDefault="00064FED" w:rsidP="00FC3473">
            <w:pPr>
              <w:pStyle w:val="Tablenormalleft"/>
              <w:keepNext w:val="0"/>
              <w:widowControl w:val="0"/>
              <w:jc w:val="left"/>
              <w:rPr>
                <w:szCs w:val="18"/>
              </w:rPr>
            </w:pPr>
            <w:r w:rsidRPr="00BF6871">
              <w:t>39-1011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95E995" w14:textId="322BF247"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Gaming Supervisors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42EBE97" w14:textId="548036D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107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5268F2" w14:textId="03C485A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108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490C755" w14:textId="448A7AD0"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3BE34B" w14:textId="1575DE2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18B7ECE" w14:textId="4185655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3</w:t>
            </w:r>
          </w:p>
        </w:tc>
      </w:tr>
      <w:tr w:rsidR="00064FED" w:rsidRPr="000C18BD" w14:paraId="368871B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972487A" w14:textId="3C5854DC" w:rsidR="00064FED" w:rsidRPr="00D77C12" w:rsidRDefault="00064FED" w:rsidP="00FC3473">
            <w:pPr>
              <w:pStyle w:val="Tablenormalleft"/>
              <w:keepNext w:val="0"/>
              <w:widowControl w:val="0"/>
              <w:jc w:val="left"/>
              <w:rPr>
                <w:szCs w:val="18"/>
              </w:rPr>
            </w:pPr>
            <w:r w:rsidRPr="00BF6871">
              <w:t>39-1021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532274" w14:textId="07C35317"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First-Line Supervisors of Personal Service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05D5D1D" w14:textId="0E5C625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697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8C9D203" w14:textId="0500952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756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8AB94E" w14:textId="4A9DB0E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59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1F3A6D2" w14:textId="03E6AA6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B53BD0D" w14:textId="6FE3CAE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27</w:t>
            </w:r>
          </w:p>
        </w:tc>
      </w:tr>
      <w:tr w:rsidR="00064FED" w:rsidRPr="000C18BD" w14:paraId="605D6C10"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E441C41" w14:textId="27AAD493" w:rsidR="00064FED" w:rsidRPr="00D77C12" w:rsidRDefault="00064FED" w:rsidP="00FC3473">
            <w:pPr>
              <w:pStyle w:val="Tablenormalleft"/>
              <w:keepNext w:val="0"/>
              <w:widowControl w:val="0"/>
              <w:jc w:val="left"/>
              <w:rPr>
                <w:szCs w:val="18"/>
              </w:rPr>
            </w:pPr>
            <w:r w:rsidRPr="00BF6871">
              <w:t>39-9011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5FCD5CF" w14:textId="13BDEDD8"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Childcare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FA34B20" w14:textId="393394C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8,094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85FE3E" w14:textId="562648B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8,233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D774E7D" w14:textId="399C0D1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139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50AF390" w14:textId="6F75587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2ED991" w14:textId="649085B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295</w:t>
            </w:r>
          </w:p>
        </w:tc>
      </w:tr>
      <w:tr w:rsidR="00064FED" w:rsidRPr="000C18BD" w14:paraId="476ADA44"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2482A4F" w14:textId="623BC709" w:rsidR="00064FED" w:rsidRPr="00D77C12" w:rsidRDefault="00064FED" w:rsidP="00FC3473">
            <w:pPr>
              <w:pStyle w:val="Tablenormalleft"/>
              <w:keepNext w:val="0"/>
              <w:widowControl w:val="0"/>
              <w:jc w:val="left"/>
              <w:rPr>
                <w:szCs w:val="18"/>
              </w:rPr>
            </w:pPr>
            <w:r w:rsidRPr="00BF6871">
              <w:t>39-9031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58C0353" w14:textId="4B93B112"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Fitness Trainers and Aerobics Instructors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7684CD6" w14:textId="2D321B2A"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702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75884BC" w14:textId="63F7E0B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698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E8F5B6" w14:textId="1F8E032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(4)</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274A04" w14:textId="0C556FF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34F61E1" w14:textId="6DEE409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11</w:t>
            </w:r>
          </w:p>
        </w:tc>
      </w:tr>
      <w:tr w:rsidR="00064FED" w:rsidRPr="000C18BD" w14:paraId="0A8278FE"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6F8FCB" w14:textId="4193CB52" w:rsidR="00064FED" w:rsidRPr="00D77C12" w:rsidRDefault="00064FED" w:rsidP="00FC3473">
            <w:pPr>
              <w:pStyle w:val="Tablenormalleft"/>
              <w:keepNext w:val="0"/>
              <w:widowControl w:val="0"/>
              <w:jc w:val="left"/>
              <w:rPr>
                <w:szCs w:val="18"/>
              </w:rPr>
            </w:pPr>
            <w:r w:rsidRPr="00BF6871">
              <w:t>39-9032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EC1E6F" w14:textId="3A45CFFC"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Recreation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58714D" w14:textId="39F6A894"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1,289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FF5CCE" w14:textId="1EF29AF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1,431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E982FC4" w14:textId="3AC357EA"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142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6D3F61" w14:textId="5AB25599"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D254987" w14:textId="14711A9C"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45</w:t>
            </w:r>
          </w:p>
        </w:tc>
      </w:tr>
      <w:tr w:rsidR="00064FED" w:rsidRPr="000C18BD" w14:paraId="00FCA050"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A3C5D4" w14:textId="48330E4D" w:rsidR="00064FED" w:rsidRPr="00D77C12" w:rsidRDefault="00064FED" w:rsidP="00FC3473">
            <w:pPr>
              <w:pStyle w:val="Tablenormalleft"/>
              <w:keepNext w:val="0"/>
              <w:widowControl w:val="0"/>
              <w:jc w:val="left"/>
              <w:rPr>
                <w:szCs w:val="18"/>
              </w:rPr>
            </w:pPr>
            <w:r w:rsidRPr="00BF6871">
              <w:t>43-3021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E92DC1" w14:textId="63D2C17E"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Billing and Posting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D8D39DA" w14:textId="273524BD"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2,559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DF139E2" w14:textId="72D6A39B"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2,772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A467D33" w14:textId="126FA69F"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213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3DEF28" w14:textId="246B790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C0CC55F" w14:textId="3BB1BA5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92</w:t>
            </w:r>
          </w:p>
        </w:tc>
      </w:tr>
      <w:tr w:rsidR="00064FED" w:rsidRPr="000C18BD" w14:paraId="3BB7E3C8"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433014A" w14:textId="2CF0B912" w:rsidR="00064FED" w:rsidRPr="00D77C12" w:rsidRDefault="00064FED" w:rsidP="00FC3473">
            <w:pPr>
              <w:pStyle w:val="Tablenormalleft"/>
              <w:keepNext w:val="0"/>
              <w:widowControl w:val="0"/>
              <w:jc w:val="left"/>
              <w:rPr>
                <w:szCs w:val="18"/>
              </w:rPr>
            </w:pPr>
            <w:r w:rsidRPr="00BF6871">
              <w:t>43-3031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3C52915" w14:textId="436802B8"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Bookkeeping, Accounting, and Auditing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DC5E31F" w14:textId="2A64176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7,008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BA6E399" w14:textId="5B5FB5C6"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7,425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76150F" w14:textId="3B4063D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417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912CE4C" w14:textId="73200EA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180F807" w14:textId="421B01DD"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152</w:t>
            </w:r>
          </w:p>
        </w:tc>
      </w:tr>
      <w:tr w:rsidR="00064FED" w:rsidRPr="000C18BD" w14:paraId="02A0B776"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8355C4A" w14:textId="62F2E4E4" w:rsidR="00064FED" w:rsidRPr="00D77C12" w:rsidRDefault="00064FED" w:rsidP="00FC3473">
            <w:pPr>
              <w:pStyle w:val="Tablenormalleft"/>
              <w:keepNext w:val="0"/>
              <w:widowControl w:val="0"/>
              <w:jc w:val="left"/>
              <w:rPr>
                <w:szCs w:val="18"/>
              </w:rPr>
            </w:pPr>
            <w:r w:rsidRPr="00BF6871">
              <w:t>43-3041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222650A" w14:textId="178AEAE3"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Gaming Cage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C8B0886" w14:textId="0CF5EF6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103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CD2D8FE" w14:textId="34FB95F4"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104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FDB59B8" w14:textId="5280290E"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D0DD2B2" w14:textId="23B18DCC"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58AAE4" w14:textId="3793CFE5"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3</w:t>
            </w:r>
          </w:p>
        </w:tc>
      </w:tr>
      <w:tr w:rsidR="00064FED" w:rsidRPr="000C18BD" w14:paraId="102CCB52"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E2FC14" w14:textId="2CB5CA23" w:rsidR="00064FED" w:rsidRPr="00D77C12" w:rsidRDefault="00064FED" w:rsidP="00FC3473">
            <w:pPr>
              <w:pStyle w:val="Tablenormalleft"/>
              <w:keepNext w:val="0"/>
              <w:widowControl w:val="0"/>
              <w:jc w:val="left"/>
              <w:rPr>
                <w:szCs w:val="18"/>
              </w:rPr>
            </w:pPr>
            <w:r w:rsidRPr="00BF6871">
              <w:t>43-3051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ED7E0F" w14:textId="2287E049" w:rsidR="00064FED" w:rsidRPr="00D77C12"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rPr>
                <w:szCs w:val="18"/>
              </w:rPr>
            </w:pPr>
            <w:r w:rsidRPr="00BF6871">
              <w:t>Payroll and Timekeeping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009C36A" w14:textId="02381D3E"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1,066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9A9BAB" w14:textId="05C28AD5"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 1,125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52A0A6" w14:textId="341B92E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 xml:space="preserve">59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E9DC9E" w14:textId="16EF2F58"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DC16AD8" w14:textId="77F7B411" w:rsidR="00064FED" w:rsidRPr="00D77C12"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rPr>
                <w:rFonts w:cs="Arial"/>
                <w:szCs w:val="18"/>
              </w:rPr>
            </w:pPr>
            <w:r w:rsidRPr="00BF6871">
              <w:t>36</w:t>
            </w:r>
          </w:p>
        </w:tc>
      </w:tr>
      <w:tr w:rsidR="00064FED" w:rsidRPr="000C18BD" w14:paraId="5731C3CA"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F655EE6" w14:textId="1D81B8A0" w:rsidR="00064FED" w:rsidRPr="00D77C12" w:rsidRDefault="00064FED" w:rsidP="00FC3473">
            <w:pPr>
              <w:pStyle w:val="Tablenormalleft"/>
              <w:keepNext w:val="0"/>
              <w:widowControl w:val="0"/>
              <w:jc w:val="left"/>
              <w:rPr>
                <w:szCs w:val="18"/>
              </w:rPr>
            </w:pPr>
            <w:r w:rsidRPr="00BF6871">
              <w:t>43-3061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EF659A5" w14:textId="205D7C0D" w:rsidR="00064FED" w:rsidRPr="00D77C12"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rPr>
                <w:szCs w:val="18"/>
              </w:rPr>
            </w:pPr>
            <w:r w:rsidRPr="00BF6871">
              <w:t>Procurement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BDA02B5" w14:textId="10DCFF18"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306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A6A594" w14:textId="04DDC282"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 320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52B1813" w14:textId="05C74A46"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 xml:space="preserve">14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476DAA" w14:textId="430574E7"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C46E7A7" w14:textId="3B3D1949" w:rsidR="00064FED" w:rsidRPr="00D77C12"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rPr>
                <w:rFonts w:cs="Arial"/>
                <w:szCs w:val="18"/>
              </w:rPr>
            </w:pPr>
            <w:r w:rsidRPr="00BF6871">
              <w:t>14</w:t>
            </w:r>
          </w:p>
        </w:tc>
      </w:tr>
      <w:tr w:rsidR="00064FED" w:rsidRPr="000C18BD" w14:paraId="1680BFE7"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93F6F5C" w14:textId="3D4E7EF1" w:rsidR="00064FED" w:rsidRPr="00714176" w:rsidRDefault="00064FED" w:rsidP="00FC3473">
            <w:pPr>
              <w:pStyle w:val="Tablenormalleft"/>
              <w:keepNext w:val="0"/>
              <w:widowControl w:val="0"/>
              <w:jc w:val="left"/>
            </w:pPr>
            <w:r w:rsidRPr="00BF6871">
              <w:t>43-4011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19FD539" w14:textId="59C8E4E5"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Brokerage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BC3930B" w14:textId="6656EAF0"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37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8ECF4B3" w14:textId="5A4D517C"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36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5744507" w14:textId="0A8C23D9"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88FAC2" w14:textId="0B36011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A089674" w14:textId="1C89D739"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r>
      <w:tr w:rsidR="00064FED" w:rsidRPr="000C18BD" w14:paraId="2FCCAEDF"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D96D4F" w14:textId="31D10542" w:rsidR="00064FED" w:rsidRPr="00714176" w:rsidRDefault="00064FED" w:rsidP="00FC3473">
            <w:pPr>
              <w:pStyle w:val="Tablenormalleft"/>
              <w:keepNext w:val="0"/>
              <w:widowControl w:val="0"/>
              <w:jc w:val="left"/>
            </w:pPr>
            <w:r w:rsidRPr="00BF6871">
              <w:t>43-4021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74345CC" w14:textId="7B7E7744"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Correspondence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D94B46" w14:textId="0132F169"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D297DB1" w14:textId="09CDC6B4"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BC7D127" w14:textId="36019FAF"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BAFCDEA" w14:textId="7FEED07F"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27B5083" w14:textId="26A82E41"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w:t>
            </w:r>
          </w:p>
        </w:tc>
      </w:tr>
      <w:tr w:rsidR="00064FED" w:rsidRPr="000C18BD" w14:paraId="0CF4725F"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235DAFA" w14:textId="1FF36D04" w:rsidR="00064FED" w:rsidRPr="00714176" w:rsidRDefault="00064FED" w:rsidP="00FC3473">
            <w:pPr>
              <w:pStyle w:val="Tablenormalleft"/>
              <w:keepNext w:val="0"/>
              <w:widowControl w:val="0"/>
              <w:jc w:val="left"/>
            </w:pPr>
            <w:r w:rsidRPr="00BF6871">
              <w:t>43-4031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71E8641" w14:textId="0D225C61"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Court, Municipal, and License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91158DB" w14:textId="53ACC5B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700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98AC352" w14:textId="0BE001F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752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73DAB5" w14:textId="30367425"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52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9A3B41" w14:textId="42694C06"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5DFFCDC" w14:textId="0E918649"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22</w:t>
            </w:r>
          </w:p>
        </w:tc>
      </w:tr>
      <w:tr w:rsidR="00064FED" w:rsidRPr="000C18BD" w14:paraId="5254A38A"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46C1E77" w14:textId="50DAA1E9" w:rsidR="00064FED" w:rsidRPr="00714176" w:rsidRDefault="00064FED" w:rsidP="00FC3473">
            <w:pPr>
              <w:pStyle w:val="Tablenormalleft"/>
              <w:keepNext w:val="0"/>
              <w:widowControl w:val="0"/>
              <w:jc w:val="left"/>
            </w:pPr>
            <w:r w:rsidRPr="00BF6871">
              <w:t>43-4071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2D98BA0" w14:textId="155F0C00"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File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CE7581" w14:textId="3801560C"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1,077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17EC3C8" w14:textId="38C0EACA"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1,081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729BB67" w14:textId="72E9957F"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7073FE6" w14:textId="0CFACFE0"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2B4074" w14:textId="262CD3DC"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27</w:t>
            </w:r>
          </w:p>
        </w:tc>
      </w:tr>
      <w:tr w:rsidR="00064FED" w:rsidRPr="000C18BD" w14:paraId="2A8FF5DD"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7B52789" w14:textId="43D69925" w:rsidR="00064FED" w:rsidRPr="00714176" w:rsidRDefault="00064FED" w:rsidP="00FC3473">
            <w:pPr>
              <w:pStyle w:val="Tablenormalleft"/>
              <w:keepNext w:val="0"/>
              <w:widowControl w:val="0"/>
              <w:jc w:val="left"/>
            </w:pPr>
            <w:r w:rsidRPr="00BF6871">
              <w:t>43-4151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BA66EB" w14:textId="03FE1BEE"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Order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90B2F65" w14:textId="094538E9"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666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D26105B" w14:textId="346F0CDC"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686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84E44A8" w14:textId="62154CB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20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DACB373" w14:textId="43FE3A03"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6D3B7C" w14:textId="4297F82D"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22</w:t>
            </w:r>
          </w:p>
        </w:tc>
      </w:tr>
      <w:tr w:rsidR="00064FED" w:rsidRPr="000C18BD" w14:paraId="5F2828F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4E5269C" w14:textId="5B8B25DC" w:rsidR="00064FED" w:rsidRPr="00714176" w:rsidRDefault="00064FED" w:rsidP="00FC3473">
            <w:pPr>
              <w:pStyle w:val="Tablenormalleft"/>
              <w:keepNext w:val="0"/>
              <w:widowControl w:val="0"/>
              <w:jc w:val="left"/>
            </w:pPr>
            <w:r w:rsidRPr="00BF6871">
              <w:t>43-4161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6071613" w14:textId="1B6B4094"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 xml:space="preserve">Human </w:t>
            </w:r>
            <w:r w:rsidR="00FD1431" w:rsidRPr="00BF6871">
              <w:t>Resou</w:t>
            </w:r>
            <w:r w:rsidR="00FD1431">
              <w:t>rce</w:t>
            </w:r>
            <w:r w:rsidR="00FD1431" w:rsidRPr="00BF6871">
              <w:t>s</w:t>
            </w:r>
            <w:r w:rsidRPr="00BF6871">
              <w:t xml:space="preserve"> Assistants, Except Payroll and Timekeeping</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E6A3DB" w14:textId="434E6C02"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686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328D0F1" w14:textId="372C4BB5"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704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FE472DC" w14:textId="60F5FA33"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18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173C70" w14:textId="411B87F8"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765859" w14:textId="147A287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21</w:t>
            </w:r>
          </w:p>
        </w:tc>
      </w:tr>
      <w:tr w:rsidR="00064FED" w:rsidRPr="000C18BD" w14:paraId="716942AF"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DC171C3" w14:textId="16F8176A" w:rsidR="00064FED" w:rsidRPr="00714176" w:rsidRDefault="00064FED" w:rsidP="00FC3473">
            <w:pPr>
              <w:pStyle w:val="Tablenormalleft"/>
              <w:keepNext w:val="0"/>
              <w:widowControl w:val="0"/>
              <w:jc w:val="left"/>
            </w:pPr>
            <w:r w:rsidRPr="00BF6871">
              <w:t>43-4171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1362B98" w14:textId="0EE7B4AB"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Receptionists and Information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333353" w14:textId="3990EA7A"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4,009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544A71B" w14:textId="594B9253"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4,302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CB9A3D" w14:textId="0BD62C3D"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293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E8F17F" w14:textId="6E71DC93"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857F16" w14:textId="106F4476"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172</w:t>
            </w:r>
          </w:p>
        </w:tc>
      </w:tr>
      <w:tr w:rsidR="00064FED" w:rsidRPr="000C18BD" w14:paraId="1C648DFA"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CAD674C" w14:textId="416DD210" w:rsidR="00064FED" w:rsidRPr="00714176" w:rsidRDefault="00064FED" w:rsidP="00FC3473">
            <w:pPr>
              <w:pStyle w:val="Tablenormalleft"/>
              <w:keepNext w:val="0"/>
              <w:widowControl w:val="0"/>
              <w:jc w:val="left"/>
            </w:pPr>
            <w:r w:rsidRPr="00BF6871">
              <w:t>43-4199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609A23" w14:textId="52A1509C"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Information and Record Clerks,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060E26" w14:textId="0094B5A7"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1,280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F59B50D" w14:textId="5C8F178D"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1,266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F83871E" w14:textId="7C2E27C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(14)</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3E36A1C" w14:textId="78D79F7A"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66A7056" w14:textId="4D587FCA"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30</w:t>
            </w:r>
          </w:p>
        </w:tc>
      </w:tr>
      <w:tr w:rsidR="00064FED" w:rsidRPr="000C18BD" w14:paraId="11E3DB82"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D827E1" w14:textId="33B7B4F1" w:rsidR="00064FED" w:rsidRPr="00714176" w:rsidRDefault="00064FED" w:rsidP="00FC3473">
            <w:pPr>
              <w:pStyle w:val="Tablenormalleft"/>
              <w:keepNext w:val="0"/>
              <w:widowControl w:val="0"/>
              <w:jc w:val="left"/>
            </w:pPr>
            <w:r w:rsidRPr="00BF6871">
              <w:t>43-5011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67ECBA3" w14:textId="44854178"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Cargo and Freight Agents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571171" w14:textId="3729CB60"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146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C450519" w14:textId="1BE14CF8"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163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E1833E" w14:textId="52700C4B"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17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C74E8C5" w14:textId="6E4C1670"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C12A22A" w14:textId="0BE9216A"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8</w:t>
            </w:r>
          </w:p>
        </w:tc>
      </w:tr>
      <w:tr w:rsidR="00064FED" w:rsidRPr="000C18BD" w14:paraId="2C956EA4"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445311" w14:textId="477CB1D7" w:rsidR="00064FED" w:rsidRPr="00714176" w:rsidRDefault="00064FED" w:rsidP="00FC3473">
            <w:pPr>
              <w:pStyle w:val="Tablenormalleft"/>
              <w:keepNext w:val="0"/>
              <w:widowControl w:val="0"/>
              <w:jc w:val="left"/>
            </w:pPr>
            <w:r w:rsidRPr="00BF6871">
              <w:t>43-5051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E33A658" w14:textId="6C4ADD52"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Postal Service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E81387D" w14:textId="624E75D9"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207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60E7ED" w14:textId="1F7C250B"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183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6AE6B1A" w14:textId="0EE76C82"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(24)</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C4FB5F6" w14:textId="5E1F5871"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9047F53" w14:textId="15CE5F4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3</w:t>
            </w:r>
          </w:p>
        </w:tc>
      </w:tr>
      <w:tr w:rsidR="00064FED" w:rsidRPr="000C18BD" w14:paraId="0CB6885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2AAA2A1" w14:textId="43FDEDE1" w:rsidR="00064FED" w:rsidRPr="00714176" w:rsidRDefault="00064FED" w:rsidP="00FC3473">
            <w:pPr>
              <w:pStyle w:val="Tablenormalleft"/>
              <w:keepNext w:val="0"/>
              <w:widowControl w:val="0"/>
              <w:jc w:val="left"/>
            </w:pPr>
            <w:r w:rsidRPr="00BF6871">
              <w:t>43-5052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72DAF50" w14:textId="114508F1"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Postal Service Mail Carriers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EAB6C12" w14:textId="3A2D04BB"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989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15DF0D7" w14:textId="6F2A6772"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898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ED3D26" w14:textId="57CBAA15"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(91)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74FBADC" w14:textId="703E954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(9%)</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C084E0" w14:textId="535021B5"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33</w:t>
            </w:r>
          </w:p>
        </w:tc>
      </w:tr>
      <w:tr w:rsidR="00064FED" w:rsidRPr="000C18BD" w14:paraId="31F43D53"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6AF406" w14:textId="1B66FA0E" w:rsidR="00064FED" w:rsidRPr="00714176" w:rsidRDefault="00064FED" w:rsidP="00FC3473">
            <w:pPr>
              <w:pStyle w:val="Tablenormalleft"/>
              <w:keepNext w:val="0"/>
              <w:widowControl w:val="0"/>
              <w:jc w:val="left"/>
            </w:pPr>
            <w:r w:rsidRPr="00BF6871">
              <w:t>43-5053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52073D4" w14:textId="3267A9C9"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Postal Service Mail Sorters, Processors, and Processing Machine Operators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086A33" w14:textId="0DB127DD"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250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2DF0CBB" w14:textId="6B21F1B9"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226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1F8327C" w14:textId="00051AEA"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(24)</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9B57CA4" w14:textId="4220D512"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27B5EE4" w14:textId="5496DCA1"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w:t>
            </w:r>
          </w:p>
        </w:tc>
      </w:tr>
      <w:tr w:rsidR="00064FED" w:rsidRPr="000C18BD" w14:paraId="047A51C7"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F96FC1D" w14:textId="67431674" w:rsidR="00064FED" w:rsidRPr="00714176" w:rsidRDefault="00064FED" w:rsidP="00FC3473">
            <w:pPr>
              <w:pStyle w:val="Tablenormalleft"/>
              <w:keepNext w:val="0"/>
              <w:widowControl w:val="0"/>
              <w:jc w:val="left"/>
            </w:pPr>
            <w:r w:rsidRPr="00BF6871">
              <w:t>43-5071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E52A832" w14:textId="7C07483C"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Shipping, Receiving, and Traffic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40B60D4" w14:textId="2C8CE2FB"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2,618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38E769D" w14:textId="11937240"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2,779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B693774" w14:textId="7568C98B"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161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8155DA" w14:textId="7DBCE365"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2C757A7" w14:textId="2B9AD4E4"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104</w:t>
            </w:r>
          </w:p>
        </w:tc>
      </w:tr>
      <w:tr w:rsidR="00064FED" w:rsidRPr="000C18BD" w14:paraId="2B9C45C0"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5A23CB" w14:textId="2A2159BD" w:rsidR="00064FED" w:rsidRPr="00714176" w:rsidRDefault="00064FED" w:rsidP="00FC3473">
            <w:pPr>
              <w:pStyle w:val="Tablenormalleft"/>
              <w:keepNext w:val="0"/>
              <w:widowControl w:val="0"/>
              <w:jc w:val="left"/>
            </w:pPr>
            <w:r w:rsidRPr="00BF6871">
              <w:t>43-5111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41BEE59" w14:textId="2CC37CBB"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Weighers, Measurers, Checkers, and Samplers, Recordkeeping</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E93B0BC" w14:textId="018B51A1"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1,041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2F0056C" w14:textId="6F421355"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1,105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D0CD414" w14:textId="12E447E3"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64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30E6EC" w14:textId="3F6A9B33"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F17B58A" w14:textId="1FED8620"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37</w:t>
            </w:r>
          </w:p>
        </w:tc>
      </w:tr>
      <w:tr w:rsidR="00064FED" w:rsidRPr="000C18BD" w14:paraId="58648EFF"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23919C" w14:textId="72F6B5FE" w:rsidR="00064FED" w:rsidRPr="00714176" w:rsidRDefault="00064FED" w:rsidP="00FC3473">
            <w:pPr>
              <w:pStyle w:val="Tablenormalleft"/>
              <w:keepNext w:val="0"/>
              <w:widowControl w:val="0"/>
              <w:jc w:val="left"/>
            </w:pPr>
            <w:r w:rsidRPr="00BF6871">
              <w:t>43-6011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095C605" w14:textId="7F4AB623"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Executive Secretaries and Executive Administrative Assistants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CDA7812" w14:textId="0B9DE304"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2,134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43D249A" w14:textId="759ECA56"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2,169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B20E85" w14:textId="14344D1D"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35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1E3F7B4" w14:textId="683A4FDE"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1A2AA1B" w14:textId="29637812"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34</w:t>
            </w:r>
          </w:p>
        </w:tc>
      </w:tr>
      <w:tr w:rsidR="00064FED" w:rsidRPr="000C18BD" w14:paraId="7D7E8BF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D2182D" w14:textId="33B6605F" w:rsidR="00064FED" w:rsidRPr="00714176" w:rsidRDefault="00064FED" w:rsidP="00FC3473">
            <w:pPr>
              <w:pStyle w:val="Tablenormalleft"/>
              <w:keepNext w:val="0"/>
              <w:widowControl w:val="0"/>
              <w:jc w:val="left"/>
            </w:pPr>
            <w:r w:rsidRPr="00BF6871">
              <w:t>43-6013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F628EC" w14:textId="55586E1F"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Medical Secretaries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48CD6E0" w14:textId="6712764E"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3,121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1C33DB" w14:textId="32DF37F3"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3,535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6FE2249" w14:textId="0E2C1EC5"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414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E764088" w14:textId="51E1437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967E77" w14:textId="14732108"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124</w:t>
            </w:r>
          </w:p>
        </w:tc>
      </w:tr>
      <w:tr w:rsidR="00064FED" w:rsidRPr="000C18BD" w14:paraId="680C48FF"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60C85DC" w14:textId="2B56008D" w:rsidR="00064FED" w:rsidRPr="00714176" w:rsidRDefault="00064FED" w:rsidP="00FC3473">
            <w:pPr>
              <w:pStyle w:val="Tablenormalleft"/>
              <w:keepNext w:val="0"/>
              <w:widowControl w:val="0"/>
              <w:jc w:val="left"/>
            </w:pPr>
            <w:r w:rsidRPr="00BF6871">
              <w:t>43-6014</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7837F7" w14:textId="05662F8B"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Secretaries and Administrative Assistants, Except Legal, Medical, and Executive</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407DFE9" w14:textId="2C83B4B8"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8,759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D25DE09" w14:textId="7480D75D"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9,475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C3EACB" w14:textId="73006D2C"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716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7133A53" w14:textId="48E9EC1A"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7B14E0D" w14:textId="717947B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258</w:t>
            </w:r>
          </w:p>
        </w:tc>
      </w:tr>
      <w:tr w:rsidR="00064FED" w:rsidRPr="000C18BD" w14:paraId="6C66FDDC"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10E7F45" w14:textId="6F2C28D1" w:rsidR="00064FED" w:rsidRPr="00714176" w:rsidRDefault="00064FED" w:rsidP="00FC3473">
            <w:pPr>
              <w:pStyle w:val="Tablenormalleft"/>
              <w:keepNext w:val="0"/>
              <w:widowControl w:val="0"/>
              <w:jc w:val="left"/>
            </w:pPr>
            <w:r w:rsidRPr="00BF6871">
              <w:t>43-9022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43574E1" w14:textId="4851A3C2"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Word Processors and Typists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1D1840E" w14:textId="5B0E2024"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945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DC3B5EC" w14:textId="756A849F"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854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826F859" w14:textId="3D8FF0C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(91)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A125177" w14:textId="71DC0BC4"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CC019F" w14:textId="4DF261D4"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4</w:t>
            </w:r>
          </w:p>
        </w:tc>
      </w:tr>
      <w:tr w:rsidR="00064FED" w:rsidRPr="000C18BD" w14:paraId="1D985279"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3A3C5A5" w14:textId="20997183" w:rsidR="00064FED" w:rsidRPr="00714176" w:rsidRDefault="00064FED" w:rsidP="00FC3473">
            <w:pPr>
              <w:pStyle w:val="Tablenormalleft"/>
              <w:keepNext w:val="0"/>
              <w:widowControl w:val="0"/>
              <w:jc w:val="left"/>
            </w:pPr>
            <w:r w:rsidRPr="00BF6871">
              <w:t>43-9041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CE2290E" w14:textId="76FBE22D"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Insurance Claims and Policy Processing Clerks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B4DB6F4" w14:textId="5BB97214"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882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F70A9AC" w14:textId="48E3B0EA"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900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02A0F10" w14:textId="3E9BAAC2"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18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90C215" w14:textId="1EB4187A"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472A7B2" w14:textId="0ACA0862"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28</w:t>
            </w:r>
          </w:p>
        </w:tc>
      </w:tr>
      <w:tr w:rsidR="00064FED" w:rsidRPr="000C18BD" w14:paraId="5AA8C7F0"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11CFDF" w14:textId="1F9E7486" w:rsidR="00064FED" w:rsidRPr="00714176" w:rsidRDefault="00064FED" w:rsidP="00FC3473">
            <w:pPr>
              <w:pStyle w:val="Tablenormalleft"/>
              <w:keepNext w:val="0"/>
              <w:widowControl w:val="0"/>
              <w:jc w:val="left"/>
            </w:pPr>
            <w:r w:rsidRPr="00BF6871">
              <w:t>43-9051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E608CE7" w14:textId="2FF4BDFB"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Mail Clerks and Mail Machine Operators, Except Postal Service</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0A7387" w14:textId="4EFB8EAF"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872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0FED450" w14:textId="758CB5BE"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773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B23EBD6" w14:textId="56A8324D"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(99)</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C1B445D" w14:textId="1A81AA65"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1A7289" w14:textId="798EB56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19</w:t>
            </w:r>
          </w:p>
        </w:tc>
      </w:tr>
      <w:tr w:rsidR="00064FED" w:rsidRPr="000C18BD" w14:paraId="1BF11140"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B5F9D02" w14:textId="7C1777CB" w:rsidR="00064FED" w:rsidRPr="00714176" w:rsidRDefault="00064FED" w:rsidP="00FC3473">
            <w:pPr>
              <w:pStyle w:val="Tablenormalleft"/>
              <w:keepNext w:val="0"/>
              <w:widowControl w:val="0"/>
              <w:jc w:val="left"/>
            </w:pPr>
            <w:r w:rsidRPr="00BF6871">
              <w:t>43-9061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1756D4" w14:textId="750C9670"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Office Clerks, General</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06ADBA7" w14:textId="7956ACC5"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11,172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79914D" w14:textId="5C449844"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11,795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C80593" w14:textId="5C407DF8"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623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C8AA0A3" w14:textId="37A773C3"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D414497" w14:textId="57E61519"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370</w:t>
            </w:r>
          </w:p>
        </w:tc>
      </w:tr>
      <w:tr w:rsidR="00064FED" w:rsidRPr="000C18BD" w14:paraId="68E3F94A"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3648BD2" w14:textId="73030380" w:rsidR="00064FED" w:rsidRPr="00714176" w:rsidRDefault="00064FED" w:rsidP="00FC3473">
            <w:pPr>
              <w:pStyle w:val="Tablenormalleft"/>
              <w:keepNext w:val="0"/>
              <w:widowControl w:val="0"/>
              <w:jc w:val="left"/>
            </w:pPr>
            <w:r w:rsidRPr="00BF6871">
              <w:t>43-9071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354EAC1" w14:textId="7BDCEEA0"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Office Machine Operators, Except Computer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BBEC46F" w14:textId="62C2B8D5"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154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829364" w14:textId="37567C3A"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150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C5D3E98" w14:textId="7579543C"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(4)</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3709D6" w14:textId="30ABEFAF"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A812E90" w14:textId="38A70F51"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4</w:t>
            </w:r>
          </w:p>
        </w:tc>
      </w:tr>
      <w:tr w:rsidR="00064FED" w:rsidRPr="000C18BD" w14:paraId="184AD41D"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F03F498" w14:textId="27F734E8" w:rsidR="00064FED" w:rsidRPr="00714176" w:rsidRDefault="00064FED" w:rsidP="00FC3473">
            <w:pPr>
              <w:pStyle w:val="Tablenormalleft"/>
              <w:keepNext w:val="0"/>
              <w:widowControl w:val="0"/>
              <w:jc w:val="left"/>
            </w:pPr>
            <w:r w:rsidRPr="00BF6871">
              <w:t>43-9111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CB43DD" w14:textId="396AC6A9"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Statistical Assistants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1F72431" w14:textId="45D95C24"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343A66" w14:textId="1AEA476D"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BB149A5" w14:textId="5531EFDE"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B63430A" w14:textId="665815F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A0FB978" w14:textId="5163A188"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r>
      <w:tr w:rsidR="00064FED" w:rsidRPr="000C18BD" w14:paraId="1E91931D"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F2B082E" w14:textId="7740AEBB" w:rsidR="00064FED" w:rsidRPr="00714176" w:rsidRDefault="00064FED" w:rsidP="00FC3473">
            <w:pPr>
              <w:pStyle w:val="Tablenormalleft"/>
              <w:keepNext w:val="0"/>
              <w:widowControl w:val="0"/>
              <w:jc w:val="left"/>
            </w:pPr>
            <w:r w:rsidRPr="00BF6871">
              <w:t>43-9199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0E5832F" w14:textId="42A62D46"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Office and Administrative Support Workers,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FE67DF1" w14:textId="00F46FD2"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3,621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7A2E31" w14:textId="0D0912D0"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3,701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24AC4A7" w14:textId="5C52F5D8"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80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966ECA6" w14:textId="37FEBBB1"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C9155B3" w14:textId="5A5A04A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120</w:t>
            </w:r>
          </w:p>
        </w:tc>
      </w:tr>
      <w:tr w:rsidR="00064FED" w:rsidRPr="000C18BD" w14:paraId="1EFF8854"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3339B5" w14:textId="74ECBD20" w:rsidR="00064FED" w:rsidRPr="00714176" w:rsidRDefault="00064FED" w:rsidP="00FC3473">
            <w:pPr>
              <w:pStyle w:val="Tablenormalleft"/>
              <w:keepNext w:val="0"/>
              <w:widowControl w:val="0"/>
              <w:jc w:val="left"/>
            </w:pPr>
            <w:r w:rsidRPr="00BF6871">
              <w:t>45-2021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E39895A" w14:textId="2B9C4CDF"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Animal Breeders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0572F2A" w14:textId="2A5BB13F"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133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BB94690" w14:textId="41000DBD"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122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D4AFCB" w14:textId="5A295DB7"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68E267" w14:textId="2C9A536F"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9C25339" w14:textId="33FCF274"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4</w:t>
            </w:r>
          </w:p>
        </w:tc>
      </w:tr>
      <w:tr w:rsidR="00064FED" w:rsidRPr="000C18BD" w14:paraId="2720D93B"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8DA57ED" w14:textId="0C684B92" w:rsidR="00064FED" w:rsidRPr="00714176" w:rsidRDefault="00064FED" w:rsidP="00FC3473">
            <w:pPr>
              <w:pStyle w:val="Tablenormalleft"/>
              <w:keepNext w:val="0"/>
              <w:widowControl w:val="0"/>
              <w:jc w:val="left"/>
            </w:pPr>
            <w:r w:rsidRPr="00BF6871">
              <w:t>45-4011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6BF9B0" w14:textId="4C9F2CF8"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Forest and Conservation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8569F92" w14:textId="674F1BFF"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200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345437" w14:textId="3DFF6FFD"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224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88FBA51" w14:textId="16C8EF8C"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24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CEB8452" w14:textId="07546465"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2404841" w14:textId="420D39A7"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9</w:t>
            </w:r>
          </w:p>
        </w:tc>
      </w:tr>
      <w:tr w:rsidR="00064FED" w:rsidRPr="000C18BD" w14:paraId="25B15548"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6583C1" w14:textId="3F70D8B0" w:rsidR="00064FED" w:rsidRPr="00714176" w:rsidRDefault="00064FED" w:rsidP="00FC3473">
            <w:pPr>
              <w:pStyle w:val="Tablenormalleft"/>
              <w:keepNext w:val="0"/>
              <w:widowControl w:val="0"/>
              <w:jc w:val="left"/>
            </w:pPr>
            <w:r w:rsidRPr="00BF6871">
              <w:t>49-2091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77C59A8" w14:textId="14141865"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Avionics Technicians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8885400" w14:textId="1AC5B304"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86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10B7943" w14:textId="70C75675"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101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37E372" w14:textId="5B56833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15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B1D59AA" w14:textId="48197710"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005B302" w14:textId="64C38BC3"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5</w:t>
            </w:r>
          </w:p>
        </w:tc>
      </w:tr>
      <w:tr w:rsidR="00064FED" w:rsidRPr="000C18BD" w14:paraId="2C7CA18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FD9C48" w14:textId="693CA6A1" w:rsidR="00064FED" w:rsidRPr="00714176" w:rsidRDefault="00064FED" w:rsidP="00FC3473">
            <w:pPr>
              <w:pStyle w:val="Tablenormalleft"/>
              <w:keepNext w:val="0"/>
              <w:widowControl w:val="0"/>
              <w:jc w:val="left"/>
            </w:pPr>
            <w:r w:rsidRPr="00BF6871">
              <w:t>49-2093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613673" w14:textId="398245A4"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Electrical and Electronics Installers and Repairers, Transportation Equipment</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87292EA" w14:textId="531457F3"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55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E7ACE86" w14:textId="76BD96FC"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59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851ACA8" w14:textId="23924400"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596D2E" w14:textId="79564E19"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BE4C28" w14:textId="1ABB04E0"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w:t>
            </w:r>
          </w:p>
        </w:tc>
      </w:tr>
      <w:tr w:rsidR="00064FED" w:rsidRPr="000C18BD" w14:paraId="127E5775"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586443" w14:textId="66177B42" w:rsidR="00064FED" w:rsidRPr="00714176" w:rsidRDefault="00064FED" w:rsidP="00FC3473">
            <w:pPr>
              <w:pStyle w:val="Tablenormalleft"/>
              <w:keepNext w:val="0"/>
              <w:widowControl w:val="0"/>
              <w:jc w:val="left"/>
            </w:pPr>
            <w:r w:rsidRPr="00BF6871">
              <w:t>49-2096</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10B31BC" w14:textId="19DD3002"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Electronic Equipment Installers and Repairers, Motor Vehicles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7FD982" w14:textId="4A88EE4D"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46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4C80C64" w14:textId="40185C10"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51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990530F" w14:textId="26F64442"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0CF5484" w14:textId="7271859C"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EA45A4" w14:textId="422019BF"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r>
      <w:tr w:rsidR="00064FED" w:rsidRPr="000C18BD" w14:paraId="46976A52"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5C2C6D9" w14:textId="660735C4" w:rsidR="00064FED" w:rsidRPr="00714176" w:rsidRDefault="00064FED" w:rsidP="00FC3473">
            <w:pPr>
              <w:pStyle w:val="Tablenormalleft"/>
              <w:keepNext w:val="0"/>
              <w:widowControl w:val="0"/>
              <w:jc w:val="left"/>
            </w:pPr>
            <w:r w:rsidRPr="00BF6871">
              <w:t>49-3011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533FB6" w14:textId="36FC2AC8"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Ai</w:t>
            </w:r>
            <w:r w:rsidR="006C38C7">
              <w:t>CCC</w:t>
            </w:r>
            <w:r w:rsidRPr="00BF6871">
              <w:t>raft Mechanics and Service Technicians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0BFEA87" w14:textId="1ED63B8D"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648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D952CD7" w14:textId="62704765"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752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EE5E7E2" w14:textId="43FB95EE"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104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4FD9049" w14:textId="791E1E07"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95096D" w14:textId="3AFA0504"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41</w:t>
            </w:r>
          </w:p>
        </w:tc>
      </w:tr>
      <w:tr w:rsidR="00064FED" w:rsidRPr="000C18BD" w14:paraId="59631FCF"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61D2786" w14:textId="0E8A11B9" w:rsidR="00064FED" w:rsidRPr="00714176" w:rsidRDefault="00064FED" w:rsidP="00FC3473">
            <w:pPr>
              <w:pStyle w:val="Tablenormalleft"/>
              <w:keepNext w:val="0"/>
              <w:widowControl w:val="0"/>
              <w:jc w:val="left"/>
            </w:pPr>
            <w:r w:rsidRPr="00BF6871">
              <w:t>49-3023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7821E2A" w14:textId="7F1AD408"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Automotive Service Technicians and Mechanics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CC0CF9" w14:textId="4E1004FF"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2,993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01A6C85" w14:textId="28B8C355"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3,092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0C20FC6" w14:textId="1C197087"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99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E3D028" w14:textId="458F1263"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B57555" w14:textId="3C8E3D1A"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104</w:t>
            </w:r>
          </w:p>
        </w:tc>
      </w:tr>
      <w:tr w:rsidR="00064FED" w:rsidRPr="000C18BD" w14:paraId="40E94B58"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485B5E0" w14:textId="7E46A9CD" w:rsidR="00064FED" w:rsidRPr="00714176" w:rsidRDefault="00064FED" w:rsidP="00FC3473">
            <w:pPr>
              <w:pStyle w:val="Tablenormalleft"/>
              <w:keepNext w:val="0"/>
              <w:widowControl w:val="0"/>
              <w:jc w:val="left"/>
            </w:pPr>
            <w:r w:rsidRPr="00BF6871">
              <w:t>49-3031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9F4CCE" w14:textId="5CACBDA2"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Bus and Truck Mechanics and Diesel Engine Specialists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2527366" w14:textId="4A9E452D"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1,285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21CD93" w14:textId="453F195E"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1,364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BD838C0" w14:textId="0CF9C0A8"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79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05E802" w14:textId="6AF1A1C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AA256CF" w14:textId="483EDFA7"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45</w:t>
            </w:r>
          </w:p>
        </w:tc>
      </w:tr>
      <w:tr w:rsidR="00064FED" w:rsidRPr="000C18BD" w14:paraId="7D4A2FF4"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06335C" w14:textId="1BACE934" w:rsidR="00064FED" w:rsidRPr="00714176" w:rsidRDefault="00064FED" w:rsidP="00FC3473">
            <w:pPr>
              <w:pStyle w:val="Tablenormalleft"/>
              <w:keepNext w:val="0"/>
              <w:widowControl w:val="0"/>
              <w:jc w:val="left"/>
            </w:pPr>
            <w:r w:rsidRPr="00BF6871">
              <w:t>49-3041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9ED3580" w14:textId="384A64D4"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Farm Equipment Mechanics and Service Technicians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C2A4A9D" w14:textId="509B5531"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676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D7D3E14" w14:textId="54834339"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674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C36553" w14:textId="5F45BB88"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B12F5BE" w14:textId="32A84556"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16A7CFF" w14:textId="3F6A659D"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21</w:t>
            </w:r>
          </w:p>
        </w:tc>
      </w:tr>
      <w:tr w:rsidR="00064FED" w:rsidRPr="000C18BD" w14:paraId="02AAD816"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C710096" w14:textId="10CDC3E5" w:rsidR="00064FED" w:rsidRPr="00714176" w:rsidRDefault="00064FED" w:rsidP="00FC3473">
            <w:pPr>
              <w:pStyle w:val="Tablenormalleft"/>
              <w:keepNext w:val="0"/>
              <w:widowControl w:val="0"/>
              <w:jc w:val="left"/>
            </w:pPr>
            <w:r w:rsidRPr="00BF6871">
              <w:t>49-3042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3057DC" w14:textId="0CB7080A"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Mobile Heavy Equipment Mechanics, Except Engines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7A7437B" w14:textId="1F6E9296"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824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D46DC5" w14:textId="71B4438D"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838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83FF3A" w14:textId="5D3E23D0"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14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8E313AE" w14:textId="3821CE71"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770295" w14:textId="179CA1AC"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28</w:t>
            </w:r>
          </w:p>
        </w:tc>
      </w:tr>
      <w:tr w:rsidR="00064FED" w:rsidRPr="000C18BD" w14:paraId="6D4FB045"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22BD69C" w14:textId="7943F52F" w:rsidR="00064FED" w:rsidRPr="00714176" w:rsidRDefault="00064FED" w:rsidP="00FC3473">
            <w:pPr>
              <w:pStyle w:val="Tablenormalleft"/>
              <w:keepNext w:val="0"/>
              <w:widowControl w:val="0"/>
              <w:jc w:val="left"/>
            </w:pPr>
            <w:r w:rsidRPr="00BF6871">
              <w:t>51-2011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D4D346" w14:textId="44F531FF" w:rsidR="00064FED" w:rsidRPr="00714176" w:rsidRDefault="00FD1431"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Ai</w:t>
            </w:r>
            <w:r>
              <w:t>rcr</w:t>
            </w:r>
            <w:r w:rsidRPr="00BF6871">
              <w:t>aft</w:t>
            </w:r>
            <w:r w:rsidR="00064FED" w:rsidRPr="00BF6871">
              <w:t xml:space="preserve"> Structure, Surfaces, Rigging, and Systems Assemblers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DB9EB8A" w14:textId="734381BB"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08DCF12" w14:textId="253FE5B5"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34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B4DB962" w14:textId="2B84F5CB"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FCDC842" w14:textId="0187A666"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48855C8" w14:textId="4D30A72F"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r>
      <w:tr w:rsidR="00064FED" w:rsidRPr="000C18BD" w14:paraId="09363F40"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3EF625" w14:textId="069FE016" w:rsidR="00064FED" w:rsidRPr="00714176" w:rsidRDefault="00064FED" w:rsidP="00FC3473">
            <w:pPr>
              <w:pStyle w:val="Tablenormalleft"/>
              <w:keepNext w:val="0"/>
              <w:widowControl w:val="0"/>
              <w:jc w:val="left"/>
            </w:pPr>
            <w:r w:rsidRPr="00BF6871">
              <w:t>51-4021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275B62B" w14:textId="2BF72D09" w:rsidR="00064FED" w:rsidRPr="00714176"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Extruding and Drawing Machine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8DA6976" w14:textId="1B14AE04"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246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E0CA58A" w14:textId="43F0FFC2"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257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377886" w14:textId="3A29ED54"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11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9177AE9" w14:textId="2A6F2A28"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4D2E208" w14:textId="7431187E" w:rsidR="00064FED" w:rsidRPr="00714176"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7</w:t>
            </w:r>
          </w:p>
        </w:tc>
      </w:tr>
      <w:tr w:rsidR="00064FED" w:rsidRPr="000C18BD" w14:paraId="25427494"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CF21DAD" w14:textId="137F116A" w:rsidR="00064FED" w:rsidRPr="00714176" w:rsidRDefault="00064FED" w:rsidP="00FC3473">
            <w:pPr>
              <w:pStyle w:val="Tablenormalleft"/>
              <w:keepNext w:val="0"/>
              <w:widowControl w:val="0"/>
              <w:jc w:val="left"/>
            </w:pPr>
            <w:r w:rsidRPr="00BF6871">
              <w:t>51-4022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696138" w14:textId="006E6A70" w:rsidR="00064FED" w:rsidRPr="00714176"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Forging Machine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C3865A" w14:textId="46388207"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005D87B" w14:textId="54F97006"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B4E997D" w14:textId="6C7C45C4"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16309BB" w14:textId="26B198B8"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F79230D" w14:textId="5F921EBA" w:rsidR="00064FED" w:rsidRPr="00714176"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r>
      <w:tr w:rsidR="00064FED" w:rsidRPr="000C18BD" w14:paraId="345610A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E13BE17" w14:textId="53736BD4" w:rsidR="00064FED" w:rsidRPr="00A37B74" w:rsidRDefault="00064FED" w:rsidP="00FC3473">
            <w:pPr>
              <w:pStyle w:val="Tablenormalleft"/>
              <w:keepNext w:val="0"/>
              <w:widowControl w:val="0"/>
              <w:jc w:val="left"/>
            </w:pPr>
            <w:r w:rsidRPr="00BF6871">
              <w:t>51-4023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670635A" w14:textId="2BFBFAA5" w:rsidR="00064FED" w:rsidRPr="00A37B74"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Rolling Machine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A05C39" w14:textId="1E7A6475"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2FEB918" w14:textId="58B6D807"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0FA503" w14:textId="4B50F2EA"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3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03A3A84" w14:textId="098F7145"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14%</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4E3DB05" w14:textId="146DC828"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0</w:t>
            </w:r>
          </w:p>
        </w:tc>
      </w:tr>
      <w:tr w:rsidR="00064FED" w:rsidRPr="000C18BD" w14:paraId="4DCA232E"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41D270E" w14:textId="04E75E5F" w:rsidR="00064FED" w:rsidRPr="00A37B74" w:rsidRDefault="00064FED" w:rsidP="00FC3473">
            <w:pPr>
              <w:pStyle w:val="Tablenormalleft"/>
              <w:keepNext w:val="0"/>
              <w:widowControl w:val="0"/>
              <w:jc w:val="left"/>
            </w:pPr>
            <w:r w:rsidRPr="00BF6871">
              <w:t>51-4031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D700DD1" w14:textId="3D28B7BE" w:rsidR="00064FED" w:rsidRPr="00A37B74"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Cutting, Punching, and Press Machine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ECEDA94" w14:textId="35D486F6"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250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A41677" w14:textId="019539E1"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262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1FE9DA3" w14:textId="4EAB344F"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12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FF237DA" w14:textId="13EC5997"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A558488" w14:textId="4190B250"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5</w:t>
            </w:r>
          </w:p>
        </w:tc>
      </w:tr>
      <w:tr w:rsidR="00064FED" w:rsidRPr="000C18BD" w14:paraId="380AEC1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D8A1D99" w14:textId="4132563E" w:rsidR="00064FED" w:rsidRPr="00A37B74" w:rsidRDefault="00064FED" w:rsidP="00FC3473">
            <w:pPr>
              <w:pStyle w:val="Tablenormalleft"/>
              <w:keepNext w:val="0"/>
              <w:widowControl w:val="0"/>
              <w:jc w:val="left"/>
            </w:pPr>
            <w:r w:rsidRPr="00BF6871">
              <w:t>51-4032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69E35E6" w14:textId="3F1F9FDB" w:rsidR="00064FED" w:rsidRPr="00A37B74"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Drilling and Boring Machine Tool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E867EB1" w14:textId="493B2886"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8B70061" w14:textId="5BFB6E48"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F9645EF" w14:textId="629CFAA6"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3059A40" w14:textId="6A5A6BEB"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8FB341C" w14:textId="3AFBD501"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w:t>
            </w:r>
          </w:p>
        </w:tc>
      </w:tr>
      <w:tr w:rsidR="00064FED" w:rsidRPr="000C18BD" w14:paraId="7341D61B"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29D70B2" w14:textId="055587B8" w:rsidR="00064FED" w:rsidRPr="00A37B74" w:rsidRDefault="00064FED" w:rsidP="00FC3473">
            <w:pPr>
              <w:pStyle w:val="Tablenormalleft"/>
              <w:keepNext w:val="0"/>
              <w:widowControl w:val="0"/>
              <w:jc w:val="left"/>
            </w:pPr>
            <w:r w:rsidRPr="00BF6871">
              <w:t>51-4033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CF92F50" w14:textId="01E1FD9A" w:rsidR="00064FED" w:rsidRPr="00A37B74"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Grinding, Lapping, Polishing, and Buffing Machine Tool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E98D0F3" w14:textId="5BAB333C"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73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794DFA7" w14:textId="1E0FE25C"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72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55500BB" w14:textId="564C12EC"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909D189" w14:textId="7D8A0DEC"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B8592D" w14:textId="5AD2983F"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0</w:t>
            </w:r>
          </w:p>
        </w:tc>
      </w:tr>
      <w:tr w:rsidR="00064FED" w:rsidRPr="000C18BD" w14:paraId="1B44B15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08CF5E2" w14:textId="71F19533" w:rsidR="00064FED" w:rsidRPr="00A37B74" w:rsidRDefault="00064FED" w:rsidP="00FC3473">
            <w:pPr>
              <w:pStyle w:val="Tablenormalleft"/>
              <w:keepNext w:val="0"/>
              <w:widowControl w:val="0"/>
              <w:jc w:val="left"/>
            </w:pPr>
            <w:r w:rsidRPr="00BF6871">
              <w:t>51-4034</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C1A2B0" w14:textId="7A6DF99E" w:rsidR="00064FED" w:rsidRPr="00A37B74"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Lathe and Turning Machine Tool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18B0DA3" w14:textId="7F9A7367"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50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E96E109" w14:textId="2DCE4996"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49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D43E04D" w14:textId="6D6918E3"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000AF21" w14:textId="5A6830CD"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54B77ED" w14:textId="2D545501"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0</w:t>
            </w:r>
          </w:p>
        </w:tc>
      </w:tr>
      <w:tr w:rsidR="00064FED" w:rsidRPr="000C18BD" w14:paraId="3F2D2566"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A4265A9" w14:textId="21E21845" w:rsidR="00064FED" w:rsidRPr="00A37B74" w:rsidRDefault="00064FED" w:rsidP="00FC3473">
            <w:pPr>
              <w:pStyle w:val="Tablenormalleft"/>
              <w:keepNext w:val="0"/>
              <w:widowControl w:val="0"/>
              <w:jc w:val="left"/>
            </w:pPr>
            <w:r w:rsidRPr="00BF6871">
              <w:t>51-4035</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042D339" w14:textId="517A63A5" w:rsidR="00064FED" w:rsidRPr="00A37B74"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Milling and Planing Machine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EADE87B" w14:textId="3B2E3F36"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61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BC880F" w14:textId="286F73E7"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59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BBC64F7" w14:textId="5BAE27D2"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57A3671" w14:textId="362FA90A"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87574F" w14:textId="629F3AEC"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r>
      <w:tr w:rsidR="00064FED" w:rsidRPr="000C18BD" w14:paraId="1356D933"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988CF1E" w14:textId="670359EF" w:rsidR="00064FED" w:rsidRPr="00A37B74" w:rsidRDefault="00064FED" w:rsidP="00FC3473">
            <w:pPr>
              <w:pStyle w:val="Tablenormalleft"/>
              <w:keepNext w:val="0"/>
              <w:widowControl w:val="0"/>
              <w:jc w:val="left"/>
            </w:pPr>
            <w:r w:rsidRPr="00BF6871">
              <w:t>51-4041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7E9913" w14:textId="799089F5" w:rsidR="00064FED" w:rsidRPr="00A37B74"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Machinists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C34C50" w14:textId="3A2E632D"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577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536DCF" w14:textId="23DA9AE5"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631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9A86262" w14:textId="6BB0F008"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54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BD32EAE" w14:textId="4A1318E7"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9%</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B2A453" w14:textId="32F59E0F"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26</w:t>
            </w:r>
          </w:p>
        </w:tc>
      </w:tr>
      <w:tr w:rsidR="00064FED" w:rsidRPr="000C18BD" w14:paraId="4748AAC2"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B0F3E1B" w14:textId="68A381B9" w:rsidR="00064FED" w:rsidRPr="00A37B74" w:rsidRDefault="00064FED" w:rsidP="00FC3473">
            <w:pPr>
              <w:pStyle w:val="Tablenormalleft"/>
              <w:keepNext w:val="0"/>
              <w:widowControl w:val="0"/>
              <w:jc w:val="left"/>
            </w:pPr>
            <w:r w:rsidRPr="00BF6871">
              <w:t>51-4081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2CE6B46" w14:textId="20F85775" w:rsidR="00064FED" w:rsidRPr="00A37B74"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Multiple Machine Tool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3F6319F" w14:textId="19ED0168"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226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6DA8EC2" w14:textId="3A6ACAA2"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221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9A374D5" w14:textId="64281FF0"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(5)</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C5C65F" w14:textId="21973B29"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4583728" w14:textId="4B74B4F9"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5</w:t>
            </w:r>
          </w:p>
        </w:tc>
      </w:tr>
      <w:tr w:rsidR="00064FED" w:rsidRPr="000C18BD" w14:paraId="59AFB9EC"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D8854C0" w14:textId="218E913B" w:rsidR="00064FED" w:rsidRPr="00A37B74" w:rsidRDefault="00064FED" w:rsidP="00FC3473">
            <w:pPr>
              <w:pStyle w:val="Tablenormalleft"/>
              <w:keepNext w:val="0"/>
              <w:widowControl w:val="0"/>
              <w:jc w:val="left"/>
            </w:pPr>
            <w:r w:rsidRPr="00BF6871">
              <w:t>51-4121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2280865" w14:textId="72D3F9C1" w:rsidR="00064FED" w:rsidRPr="00A37B74"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Welders, Cutters, Solderers, and Brazers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4D6B879" w14:textId="1FCA7BBF"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1,123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C6FD31F" w14:textId="53D5A511"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1,128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9032BF2" w14:textId="63DA0949"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5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9B9BB08" w14:textId="10C1EBE6"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548ECC3" w14:textId="2441BBD9"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33</w:t>
            </w:r>
          </w:p>
        </w:tc>
      </w:tr>
      <w:tr w:rsidR="00064FED" w:rsidRPr="000C18BD" w14:paraId="4C4A4148"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BF7E9DB" w14:textId="34EE0E75" w:rsidR="00064FED" w:rsidRPr="00A37B74" w:rsidRDefault="00064FED" w:rsidP="00FC3473">
            <w:pPr>
              <w:pStyle w:val="Tablenormalleft"/>
              <w:keepNext w:val="0"/>
              <w:widowControl w:val="0"/>
              <w:jc w:val="left"/>
            </w:pPr>
            <w:r w:rsidRPr="00BF6871">
              <w:t>51-4122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0D34FF3" w14:textId="38649FD9" w:rsidR="00064FED" w:rsidRPr="00A37B74"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Welding, Soldering, and Brazing Machine Setters, Operators, and Tenders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5AEEB81" w14:textId="68CE4B95"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162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28D7F9E" w14:textId="41F872F7"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170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9659C60" w14:textId="285DC851"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A2CEFC2" w14:textId="4DD800D3"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5%</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8F6BA00" w14:textId="2B9B00D8"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6</w:t>
            </w:r>
          </w:p>
        </w:tc>
      </w:tr>
      <w:tr w:rsidR="00064FED" w:rsidRPr="000C18BD" w14:paraId="5DA7270E"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C772179" w14:textId="57D1B6B0" w:rsidR="00064FED" w:rsidRPr="00A37B74" w:rsidRDefault="00064FED" w:rsidP="00FC3473">
            <w:pPr>
              <w:pStyle w:val="Tablenormalleft"/>
              <w:keepNext w:val="0"/>
              <w:widowControl w:val="0"/>
              <w:jc w:val="left"/>
            </w:pPr>
            <w:r w:rsidRPr="00BF6871">
              <w:t>51-4191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14BF69F" w14:textId="5C8177FB" w:rsidR="00064FED" w:rsidRPr="00A37B74"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Heat Treating Equipment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A411F89" w14:textId="7AA2556F"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15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F63824A" w14:textId="66497941"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17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78A4194" w14:textId="2784AD78"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02856E" w14:textId="162451E3"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1C5D5C8" w14:textId="0EC03F67" w:rsidR="00064FED" w:rsidRPr="00A37B74"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1</w:t>
            </w:r>
          </w:p>
        </w:tc>
      </w:tr>
      <w:tr w:rsidR="00064FED" w:rsidRPr="000C18BD" w14:paraId="6874810C"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BF58FC4" w14:textId="273E047A" w:rsidR="00064FED" w:rsidRPr="00A37B74" w:rsidRDefault="00064FED" w:rsidP="00FC3473">
            <w:pPr>
              <w:pStyle w:val="Tablenormalleft"/>
              <w:keepNext w:val="0"/>
              <w:widowControl w:val="0"/>
              <w:jc w:val="left"/>
            </w:pPr>
            <w:r w:rsidRPr="00BF6871">
              <w:t>51-4192</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990AED" w14:textId="24819797" w:rsidR="00064FED" w:rsidRPr="00A37B74"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Layout Workers,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844ECD5" w14:textId="37FD1AE2"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73E6CD6" w14:textId="217E3CE4"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24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0E23631" w14:textId="338D57B9"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(2)</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145D795" w14:textId="39935964"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(8%)</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F6C4A8B" w14:textId="787CB7C2" w:rsidR="00064FED" w:rsidRPr="00A37B74"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r>
      <w:tr w:rsidR="00064FED" w:rsidRPr="000C18BD" w14:paraId="42E2E000"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0B6F227" w14:textId="6D19A9DA" w:rsidR="00064FED" w:rsidRPr="002776FF" w:rsidRDefault="00064FED" w:rsidP="00FC3473">
            <w:pPr>
              <w:pStyle w:val="Tablenormalleft"/>
              <w:keepNext w:val="0"/>
              <w:widowControl w:val="0"/>
              <w:jc w:val="left"/>
            </w:pPr>
            <w:r w:rsidRPr="00BF6871">
              <w:t>51-4193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57472F3" w14:textId="744D873B" w:rsidR="00064FED" w:rsidRPr="002776FF"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Plating and Coating Machine Setters, Operators, and Tenders, Metal and Plastic</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F6A9144" w14:textId="7709B310"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68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653D85D" w14:textId="667119E8"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68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9A02899" w14:textId="24F63CB3"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04253FE" w14:textId="6C317750"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0%</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2B9D0C05" w14:textId="69A6B7A8"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w:t>
            </w:r>
          </w:p>
        </w:tc>
      </w:tr>
      <w:tr w:rsidR="00064FED" w:rsidRPr="000C18BD" w14:paraId="40189FDB"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3366EE1" w14:textId="33190930" w:rsidR="00064FED" w:rsidRPr="002776FF" w:rsidRDefault="00064FED" w:rsidP="00FC3473">
            <w:pPr>
              <w:pStyle w:val="Tablenormalleft"/>
              <w:keepNext w:val="0"/>
              <w:widowControl w:val="0"/>
              <w:jc w:val="left"/>
            </w:pPr>
            <w:r w:rsidRPr="00BF6871">
              <w:t>51-4199</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A487539" w14:textId="3A9C78FE" w:rsidR="00064FED" w:rsidRPr="002776FF"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Metal Workers and Plastic Workers, All Other</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8C5CA1F" w14:textId="1DF1F65F"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46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6E7ECDE" w14:textId="25E4F3DD"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52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A76BFD1" w14:textId="61A7ACD7"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6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8A96D20" w14:textId="7811138E"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13%</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6CC20F1" w14:textId="17F16BA7"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0</w:t>
            </w:r>
          </w:p>
        </w:tc>
      </w:tr>
      <w:tr w:rsidR="00064FED" w:rsidRPr="000C18BD" w14:paraId="117BFC8B"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C03E078" w14:textId="71EE6F95" w:rsidR="00064FED" w:rsidRPr="002776FF" w:rsidRDefault="00064FED" w:rsidP="00FC3473">
            <w:pPr>
              <w:pStyle w:val="Tablenormalleft"/>
              <w:keepNext w:val="0"/>
              <w:widowControl w:val="0"/>
              <w:jc w:val="left"/>
            </w:pPr>
            <w:r w:rsidRPr="00BF6871">
              <w:t>51-8031</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BC75A86" w14:textId="7E92C775" w:rsidR="00064FED" w:rsidRPr="002776FF" w:rsidRDefault="00064FED" w:rsidP="00FC3473">
            <w:pPr>
              <w:pStyle w:val="Tablenormalleft"/>
              <w:keepNext w:val="0"/>
              <w:widowControl w:val="0"/>
              <w:jc w:val="left"/>
              <w:cnfStyle w:val="000000100000" w:firstRow="0" w:lastRow="0" w:firstColumn="0" w:lastColumn="0" w:oddVBand="0" w:evenVBand="0" w:oddHBand="1" w:evenHBand="0" w:firstRowFirstColumn="0" w:firstRowLastColumn="0" w:lastRowFirstColumn="0" w:lastRowLastColumn="0"/>
            </w:pPr>
            <w:r w:rsidRPr="00BF6871">
              <w:t>Water and Wastewater Treatment Plant and System Operators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9E894FA" w14:textId="354DB047"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499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1AA833E8" w14:textId="756F82E8"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 530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1DC1323" w14:textId="173B6238"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 xml:space="preserve">31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2D706F9" w14:textId="478FA792"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6%</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7E334F73" w14:textId="76AB0CD4" w:rsidR="00064FED" w:rsidRPr="002776FF" w:rsidRDefault="00064FED" w:rsidP="00242A91">
            <w:pPr>
              <w:pStyle w:val="Tablenormalright"/>
              <w:keepNext w:val="0"/>
              <w:widowControl w:val="0"/>
              <w:cnfStyle w:val="000000100000" w:firstRow="0" w:lastRow="0" w:firstColumn="0" w:lastColumn="0" w:oddVBand="0" w:evenVBand="0" w:oddHBand="1" w:evenHBand="0" w:firstRowFirstColumn="0" w:firstRowLastColumn="0" w:lastRowFirstColumn="0" w:lastRowLastColumn="0"/>
            </w:pPr>
            <w:r w:rsidRPr="00BF6871">
              <w:t>24</w:t>
            </w:r>
          </w:p>
        </w:tc>
      </w:tr>
      <w:tr w:rsidR="00064FED" w:rsidRPr="000C18BD" w14:paraId="33CBF23C"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29151B0" w14:textId="0615C63C" w:rsidR="00064FED" w:rsidRPr="002776FF" w:rsidRDefault="00064FED" w:rsidP="00FC3473">
            <w:pPr>
              <w:pStyle w:val="Tablenormalleft"/>
              <w:keepNext w:val="0"/>
              <w:widowControl w:val="0"/>
              <w:jc w:val="left"/>
            </w:pPr>
            <w:r w:rsidRPr="00BF6871">
              <w:t>51-9123</w:t>
            </w:r>
          </w:p>
        </w:tc>
        <w:tc>
          <w:tcPr>
            <w:tcW w:w="380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BF79F4A" w14:textId="3EE9AD93" w:rsidR="00064FED" w:rsidRPr="002776FF" w:rsidRDefault="00064FED" w:rsidP="00FC3473">
            <w:pPr>
              <w:pStyle w:val="Tablenormalleft"/>
              <w:keepNext w:val="0"/>
              <w:widowControl w:val="0"/>
              <w:jc w:val="left"/>
              <w:cnfStyle w:val="000000010000" w:firstRow="0" w:lastRow="0" w:firstColumn="0" w:lastColumn="0" w:oddVBand="0" w:evenVBand="0" w:oddHBand="0" w:evenHBand="1" w:firstRowFirstColumn="0" w:firstRowLastColumn="0" w:lastRowFirstColumn="0" w:lastRowLastColumn="0"/>
            </w:pPr>
            <w:r w:rsidRPr="00BF6871">
              <w:t>Painting, Coating, and Decorating Workers</w:t>
            </w:r>
          </w:p>
        </w:tc>
        <w:tc>
          <w:tcPr>
            <w:tcW w:w="90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35A67EE6" w14:textId="22A9FF11"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98 </w:t>
            </w:r>
          </w:p>
        </w:tc>
        <w:tc>
          <w:tcPr>
            <w:tcW w:w="8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4F5F0D0E" w14:textId="2F2FF689"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91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0C84A137" w14:textId="69555C53"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(7)</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57296743" w14:textId="15B2EEB3"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 xml:space="preserve"> (7%)</w:t>
            </w:r>
          </w:p>
        </w:tc>
        <w:tc>
          <w:tcPr>
            <w:tcW w:w="1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noWrap/>
          </w:tcPr>
          <w:p w14:paraId="6A6B5C97" w14:textId="0EF6CB7B" w:rsidR="00064FED" w:rsidRPr="002776FF" w:rsidRDefault="00064FED" w:rsidP="00242A91">
            <w:pPr>
              <w:pStyle w:val="Tablenormalright"/>
              <w:keepNext w:val="0"/>
              <w:widowControl w:val="0"/>
              <w:cnfStyle w:val="000000010000" w:firstRow="0" w:lastRow="0" w:firstColumn="0" w:lastColumn="0" w:oddVBand="0" w:evenVBand="0" w:oddHBand="0" w:evenHBand="1" w:firstRowFirstColumn="0" w:firstRowLastColumn="0" w:lastRowFirstColumn="0" w:lastRowLastColumn="0"/>
            </w:pPr>
            <w:r w:rsidRPr="00BF6871">
              <w:t>1</w:t>
            </w:r>
          </w:p>
        </w:tc>
      </w:tr>
    </w:tbl>
    <w:p w14:paraId="4D5BA003" w14:textId="77777777" w:rsidR="00641562" w:rsidRDefault="00641562" w:rsidP="00641562">
      <w:pPr>
        <w:pStyle w:val="Caption"/>
      </w:pPr>
    </w:p>
    <w:tbl>
      <w:tblPr>
        <w:tblStyle w:val="MediumShading1-Accent1"/>
        <w:tblW w:w="9468" w:type="dxa"/>
        <w:tblBorders>
          <w:insideV w:val="single" w:sz="8" w:space="0" w:color="7BA0CD" w:themeColor="accent1" w:themeTint="BF"/>
        </w:tblBorders>
        <w:tblLayout w:type="fixed"/>
        <w:tblLook w:val="04A0" w:firstRow="1" w:lastRow="0" w:firstColumn="1" w:lastColumn="0" w:noHBand="0" w:noVBand="1"/>
      </w:tblPr>
      <w:tblGrid>
        <w:gridCol w:w="878"/>
        <w:gridCol w:w="4000"/>
        <w:gridCol w:w="810"/>
        <w:gridCol w:w="810"/>
        <w:gridCol w:w="900"/>
        <w:gridCol w:w="900"/>
        <w:gridCol w:w="1170"/>
      </w:tblGrid>
      <w:tr w:rsidR="00641562" w:rsidRPr="00D60B90" w14:paraId="2A15DB5E" w14:textId="77777777" w:rsidTr="006A4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7"/>
            <w:tcBorders>
              <w:top w:val="nil"/>
              <w:left w:val="nil"/>
              <w:right w:val="nil"/>
            </w:tcBorders>
            <w:shd w:val="clear" w:color="auto" w:fill="auto"/>
            <w:vAlign w:val="bottom"/>
          </w:tcPr>
          <w:p w14:paraId="4F166B0E" w14:textId="77777777" w:rsidR="00641562" w:rsidRPr="008D098C" w:rsidRDefault="00641562" w:rsidP="008D098C">
            <w:pPr>
              <w:pStyle w:val="Tabletitle"/>
              <w:rPr>
                <w:b/>
              </w:rPr>
            </w:pPr>
            <w:r w:rsidRPr="008D098C">
              <w:rPr>
                <w:b/>
              </w:rPr>
              <w:t>Table A5.2: Detailed Employment Projections Related to Potential Future Programs</w:t>
            </w:r>
          </w:p>
        </w:tc>
      </w:tr>
      <w:tr w:rsidR="00641562" w:rsidRPr="00D60B90" w14:paraId="6C949718" w14:textId="77777777" w:rsidTr="0019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shd w:val="clear" w:color="auto" w:fill="4F81BD" w:themeFill="accent1"/>
            <w:vAlign w:val="center"/>
          </w:tcPr>
          <w:p w14:paraId="238D727A" w14:textId="77777777" w:rsidR="00641562" w:rsidRPr="00D60B90" w:rsidRDefault="00641562" w:rsidP="00193BE7">
            <w:pPr>
              <w:pStyle w:val="Tableheaderleft"/>
              <w:jc w:val="center"/>
            </w:pPr>
            <w:r w:rsidRPr="00D60B90">
              <w:t>SOC</w:t>
            </w:r>
          </w:p>
        </w:tc>
        <w:tc>
          <w:tcPr>
            <w:tcW w:w="4000" w:type="dxa"/>
            <w:tcBorders>
              <w:left w:val="single" w:sz="8" w:space="0" w:color="7BA0CD" w:themeColor="accent1" w:themeTint="BF"/>
              <w:right w:val="single" w:sz="8" w:space="0" w:color="7BA0CD" w:themeColor="accent1" w:themeTint="BF"/>
            </w:tcBorders>
            <w:shd w:val="clear" w:color="auto" w:fill="4F81BD" w:themeFill="accent1"/>
            <w:vAlign w:val="center"/>
          </w:tcPr>
          <w:p w14:paraId="046D772F" w14:textId="77777777" w:rsidR="00641562" w:rsidRPr="00D60B90" w:rsidRDefault="00641562" w:rsidP="00193BE7">
            <w:pPr>
              <w:pStyle w:val="Tableheaderleft"/>
              <w:jc w:val="center"/>
              <w:cnfStyle w:val="000000100000" w:firstRow="0" w:lastRow="0" w:firstColumn="0" w:lastColumn="0" w:oddVBand="0" w:evenVBand="0" w:oddHBand="1" w:evenHBand="0" w:firstRowFirstColumn="0" w:firstRowLastColumn="0" w:lastRowFirstColumn="0" w:lastRowLastColumn="0"/>
            </w:pPr>
            <w:r w:rsidRPr="00D60B90">
              <w:rPr>
                <w:bCs/>
              </w:rPr>
              <w:t>Title</w:t>
            </w:r>
          </w:p>
        </w:tc>
        <w:tc>
          <w:tcPr>
            <w:tcW w:w="810" w:type="dxa"/>
            <w:tcBorders>
              <w:left w:val="single" w:sz="8" w:space="0" w:color="7BA0CD" w:themeColor="accent1" w:themeTint="BF"/>
              <w:right w:val="single" w:sz="8" w:space="0" w:color="7BA0CD" w:themeColor="accent1" w:themeTint="BF"/>
            </w:tcBorders>
            <w:shd w:val="clear" w:color="auto" w:fill="4F81BD" w:themeFill="accent1"/>
            <w:vAlign w:val="center"/>
          </w:tcPr>
          <w:p w14:paraId="7681F6C6" w14:textId="3C6A02A7" w:rsidR="00641562" w:rsidRPr="00D60B90" w:rsidRDefault="008B0385" w:rsidP="00193BE7">
            <w:pPr>
              <w:pStyle w:val="Tableheadercenter"/>
              <w:cnfStyle w:val="000000100000" w:firstRow="0" w:lastRow="0" w:firstColumn="0" w:lastColumn="0" w:oddVBand="0" w:evenVBand="0" w:oddHBand="1" w:evenHBand="0" w:firstRowFirstColumn="0" w:firstRowLastColumn="0" w:lastRowFirstColumn="0" w:lastRowLastColumn="0"/>
            </w:pPr>
            <w:r>
              <w:rPr>
                <w:bCs/>
              </w:rPr>
              <w:t>2014</w:t>
            </w:r>
            <w:r w:rsidR="00641562" w:rsidRPr="00D60B90">
              <w:rPr>
                <w:bCs/>
              </w:rPr>
              <w:t xml:space="preserve"> Jobs</w:t>
            </w:r>
          </w:p>
        </w:tc>
        <w:tc>
          <w:tcPr>
            <w:tcW w:w="810" w:type="dxa"/>
            <w:tcBorders>
              <w:left w:val="single" w:sz="8" w:space="0" w:color="7BA0CD" w:themeColor="accent1" w:themeTint="BF"/>
              <w:right w:val="single" w:sz="8" w:space="0" w:color="7BA0CD" w:themeColor="accent1" w:themeTint="BF"/>
            </w:tcBorders>
            <w:shd w:val="clear" w:color="auto" w:fill="4F81BD" w:themeFill="accent1"/>
            <w:vAlign w:val="center"/>
          </w:tcPr>
          <w:p w14:paraId="72E50CAD" w14:textId="3FF83E59" w:rsidR="00641562" w:rsidRPr="00D60B90" w:rsidRDefault="00193BE7" w:rsidP="00193BE7">
            <w:pPr>
              <w:pStyle w:val="Tableheadercenter"/>
              <w:cnfStyle w:val="000000100000" w:firstRow="0" w:lastRow="0" w:firstColumn="0" w:lastColumn="0" w:oddVBand="0" w:evenVBand="0" w:oddHBand="1" w:evenHBand="0" w:firstRowFirstColumn="0" w:firstRowLastColumn="0" w:lastRowFirstColumn="0" w:lastRowLastColumn="0"/>
            </w:pPr>
            <w:r>
              <w:rPr>
                <w:bCs/>
              </w:rPr>
              <w:t>2019</w:t>
            </w:r>
            <w:r w:rsidR="00641562" w:rsidRPr="00D60B90">
              <w:rPr>
                <w:bCs/>
              </w:rPr>
              <w:t xml:space="preserve"> Jobs</w:t>
            </w:r>
          </w:p>
        </w:tc>
        <w:tc>
          <w:tcPr>
            <w:tcW w:w="900" w:type="dxa"/>
            <w:tcBorders>
              <w:left w:val="single" w:sz="8" w:space="0" w:color="7BA0CD" w:themeColor="accent1" w:themeTint="BF"/>
              <w:right w:val="single" w:sz="8" w:space="0" w:color="7BA0CD" w:themeColor="accent1" w:themeTint="BF"/>
            </w:tcBorders>
            <w:shd w:val="clear" w:color="auto" w:fill="4F81BD" w:themeFill="accent1"/>
            <w:vAlign w:val="center"/>
          </w:tcPr>
          <w:p w14:paraId="582447B3" w14:textId="77777777" w:rsidR="00641562" w:rsidRPr="00D60B90" w:rsidRDefault="00641562" w:rsidP="00193BE7">
            <w:pPr>
              <w:pStyle w:val="Tableheadercenter"/>
              <w:cnfStyle w:val="000000100000" w:firstRow="0" w:lastRow="0" w:firstColumn="0" w:lastColumn="0" w:oddVBand="0" w:evenVBand="0" w:oddHBand="1" w:evenHBand="0" w:firstRowFirstColumn="0" w:firstRowLastColumn="0" w:lastRowFirstColumn="0" w:lastRowLastColumn="0"/>
            </w:pPr>
            <w:r w:rsidRPr="00D60B90">
              <w:rPr>
                <w:bCs/>
              </w:rPr>
              <w:t>Change</w:t>
            </w:r>
          </w:p>
        </w:tc>
        <w:tc>
          <w:tcPr>
            <w:tcW w:w="900" w:type="dxa"/>
            <w:tcBorders>
              <w:left w:val="single" w:sz="8" w:space="0" w:color="7BA0CD" w:themeColor="accent1" w:themeTint="BF"/>
              <w:right w:val="single" w:sz="8" w:space="0" w:color="7BA0CD" w:themeColor="accent1" w:themeTint="BF"/>
            </w:tcBorders>
            <w:shd w:val="clear" w:color="auto" w:fill="4F81BD" w:themeFill="accent1"/>
            <w:vAlign w:val="center"/>
          </w:tcPr>
          <w:p w14:paraId="02DF8BCD" w14:textId="77777777" w:rsidR="00641562" w:rsidRPr="00D60B90" w:rsidRDefault="00641562" w:rsidP="00193BE7">
            <w:pPr>
              <w:pStyle w:val="Tableheadercenter"/>
              <w:cnfStyle w:val="000000100000" w:firstRow="0" w:lastRow="0" w:firstColumn="0" w:lastColumn="0" w:oddVBand="0" w:evenVBand="0" w:oddHBand="1" w:evenHBand="0" w:firstRowFirstColumn="0" w:firstRowLastColumn="0" w:lastRowFirstColumn="0" w:lastRowLastColumn="0"/>
            </w:pPr>
            <w:r>
              <w:rPr>
                <w:b w:val="0"/>
              </w:rPr>
              <w:t>%</w:t>
            </w:r>
            <w:r w:rsidRPr="00D60B90">
              <w:rPr>
                <w:bCs/>
              </w:rPr>
              <w:t xml:space="preserve"> Change</w:t>
            </w:r>
          </w:p>
        </w:tc>
        <w:tc>
          <w:tcPr>
            <w:tcW w:w="1170" w:type="dxa"/>
            <w:tcBorders>
              <w:left w:val="single" w:sz="8" w:space="0" w:color="7BA0CD" w:themeColor="accent1" w:themeTint="BF"/>
            </w:tcBorders>
            <w:shd w:val="clear" w:color="auto" w:fill="4F81BD" w:themeFill="accent1"/>
            <w:vAlign w:val="center"/>
          </w:tcPr>
          <w:p w14:paraId="5502EEEB" w14:textId="77777777" w:rsidR="00641562" w:rsidRPr="00D60B90" w:rsidRDefault="00641562" w:rsidP="00193BE7">
            <w:pPr>
              <w:pStyle w:val="Tableheadercenter"/>
              <w:cnfStyle w:val="000000100000" w:firstRow="0" w:lastRow="0" w:firstColumn="0" w:lastColumn="0" w:oddVBand="0" w:evenVBand="0" w:oddHBand="1" w:evenHBand="0" w:firstRowFirstColumn="0" w:firstRowLastColumn="0" w:lastRowFirstColumn="0" w:lastRowLastColumn="0"/>
            </w:pPr>
            <w:r w:rsidRPr="00D60B90">
              <w:rPr>
                <w:bCs/>
              </w:rPr>
              <w:t>Projected Annual Openings</w:t>
            </w:r>
          </w:p>
        </w:tc>
      </w:tr>
      <w:tr w:rsidR="00064FED" w:rsidRPr="00D60B90" w14:paraId="23EC4216"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1B756FE1" w14:textId="65F8C511" w:rsidR="00064FED" w:rsidRPr="00D77C12" w:rsidRDefault="00064FED" w:rsidP="006A4240">
            <w:pPr>
              <w:pStyle w:val="Tablenormalleft"/>
              <w:jc w:val="left"/>
              <w:rPr>
                <w:b/>
                <w:szCs w:val="18"/>
              </w:rPr>
            </w:pPr>
            <w:r w:rsidRPr="007B5395">
              <w:t>13-1199</w:t>
            </w:r>
          </w:p>
        </w:tc>
        <w:tc>
          <w:tcPr>
            <w:tcW w:w="4000" w:type="dxa"/>
            <w:tcBorders>
              <w:left w:val="single" w:sz="8" w:space="0" w:color="7BA0CD" w:themeColor="accent1" w:themeTint="BF"/>
              <w:right w:val="single" w:sz="8" w:space="0" w:color="7BA0CD" w:themeColor="accent1" w:themeTint="BF"/>
            </w:tcBorders>
          </w:tcPr>
          <w:p w14:paraId="0351BD78" w14:textId="71D174FA" w:rsidR="00064FED" w:rsidRPr="00D77C12"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7B5395">
              <w:t>Business Operations Specialists, All Other</w:t>
            </w:r>
          </w:p>
        </w:tc>
        <w:tc>
          <w:tcPr>
            <w:tcW w:w="810" w:type="dxa"/>
            <w:tcBorders>
              <w:left w:val="single" w:sz="8" w:space="0" w:color="7BA0CD" w:themeColor="accent1" w:themeTint="BF"/>
              <w:right w:val="single" w:sz="8" w:space="0" w:color="7BA0CD" w:themeColor="accent1" w:themeTint="BF"/>
            </w:tcBorders>
          </w:tcPr>
          <w:p w14:paraId="71DE56F1" w14:textId="071C3BCF"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3,160 </w:t>
            </w:r>
          </w:p>
        </w:tc>
        <w:tc>
          <w:tcPr>
            <w:tcW w:w="810" w:type="dxa"/>
            <w:tcBorders>
              <w:left w:val="single" w:sz="8" w:space="0" w:color="7BA0CD" w:themeColor="accent1" w:themeTint="BF"/>
              <w:right w:val="single" w:sz="8" w:space="0" w:color="7BA0CD" w:themeColor="accent1" w:themeTint="BF"/>
            </w:tcBorders>
          </w:tcPr>
          <w:p w14:paraId="79BA5E26" w14:textId="68AD4E0B"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3,310 </w:t>
            </w:r>
          </w:p>
        </w:tc>
        <w:tc>
          <w:tcPr>
            <w:tcW w:w="900" w:type="dxa"/>
            <w:tcBorders>
              <w:left w:val="single" w:sz="8" w:space="0" w:color="7BA0CD" w:themeColor="accent1" w:themeTint="BF"/>
              <w:right w:val="single" w:sz="8" w:space="0" w:color="7BA0CD" w:themeColor="accent1" w:themeTint="BF"/>
            </w:tcBorders>
          </w:tcPr>
          <w:p w14:paraId="7DBADFA5" w14:textId="6F4032E1"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150 </w:t>
            </w:r>
          </w:p>
        </w:tc>
        <w:tc>
          <w:tcPr>
            <w:tcW w:w="900" w:type="dxa"/>
            <w:tcBorders>
              <w:left w:val="single" w:sz="8" w:space="0" w:color="7BA0CD" w:themeColor="accent1" w:themeTint="BF"/>
              <w:right w:val="single" w:sz="8" w:space="0" w:color="7BA0CD" w:themeColor="accent1" w:themeTint="BF"/>
            </w:tcBorders>
          </w:tcPr>
          <w:p w14:paraId="0522C949" w14:textId="75C19670"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5%</w:t>
            </w:r>
          </w:p>
        </w:tc>
        <w:tc>
          <w:tcPr>
            <w:tcW w:w="1170" w:type="dxa"/>
            <w:tcBorders>
              <w:left w:val="single" w:sz="8" w:space="0" w:color="7BA0CD" w:themeColor="accent1" w:themeTint="BF"/>
            </w:tcBorders>
          </w:tcPr>
          <w:p w14:paraId="2290B13D" w14:textId="28682D4A"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75</w:t>
            </w:r>
          </w:p>
        </w:tc>
      </w:tr>
      <w:tr w:rsidR="00064FED" w:rsidRPr="00D60B90" w14:paraId="2EB1D261"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29A1C022" w14:textId="35D57783" w:rsidR="00064FED" w:rsidRPr="00D77C12" w:rsidRDefault="00064FED" w:rsidP="006A4240">
            <w:pPr>
              <w:pStyle w:val="Tablenormalleft"/>
              <w:jc w:val="left"/>
              <w:rPr>
                <w:b/>
                <w:szCs w:val="18"/>
              </w:rPr>
            </w:pPr>
            <w:r w:rsidRPr="007B5395">
              <w:t>19-4031</w:t>
            </w:r>
          </w:p>
        </w:tc>
        <w:tc>
          <w:tcPr>
            <w:tcW w:w="4000" w:type="dxa"/>
            <w:tcBorders>
              <w:left w:val="single" w:sz="8" w:space="0" w:color="7BA0CD" w:themeColor="accent1" w:themeTint="BF"/>
              <w:right w:val="single" w:sz="8" w:space="0" w:color="7BA0CD" w:themeColor="accent1" w:themeTint="BF"/>
            </w:tcBorders>
          </w:tcPr>
          <w:p w14:paraId="3D5494AB" w14:textId="6AC1B83F" w:rsidR="00064FED" w:rsidRPr="00D77C12"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7B5395">
              <w:t>Chemical Technicians</w:t>
            </w:r>
          </w:p>
        </w:tc>
        <w:tc>
          <w:tcPr>
            <w:tcW w:w="810" w:type="dxa"/>
            <w:tcBorders>
              <w:left w:val="single" w:sz="8" w:space="0" w:color="7BA0CD" w:themeColor="accent1" w:themeTint="BF"/>
              <w:right w:val="single" w:sz="8" w:space="0" w:color="7BA0CD" w:themeColor="accent1" w:themeTint="BF"/>
            </w:tcBorders>
          </w:tcPr>
          <w:p w14:paraId="70D8466D" w14:textId="6636A5CB"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 167 </w:t>
            </w:r>
          </w:p>
        </w:tc>
        <w:tc>
          <w:tcPr>
            <w:tcW w:w="810" w:type="dxa"/>
            <w:tcBorders>
              <w:left w:val="single" w:sz="8" w:space="0" w:color="7BA0CD" w:themeColor="accent1" w:themeTint="BF"/>
              <w:right w:val="single" w:sz="8" w:space="0" w:color="7BA0CD" w:themeColor="accent1" w:themeTint="BF"/>
            </w:tcBorders>
          </w:tcPr>
          <w:p w14:paraId="3412A96D" w14:textId="1B8F761F"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 195 </w:t>
            </w:r>
          </w:p>
        </w:tc>
        <w:tc>
          <w:tcPr>
            <w:tcW w:w="900" w:type="dxa"/>
            <w:tcBorders>
              <w:left w:val="single" w:sz="8" w:space="0" w:color="7BA0CD" w:themeColor="accent1" w:themeTint="BF"/>
              <w:right w:val="single" w:sz="8" w:space="0" w:color="7BA0CD" w:themeColor="accent1" w:themeTint="BF"/>
            </w:tcBorders>
          </w:tcPr>
          <w:p w14:paraId="4AFA8EBE" w14:textId="1D390BF6"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28 </w:t>
            </w:r>
          </w:p>
        </w:tc>
        <w:tc>
          <w:tcPr>
            <w:tcW w:w="900" w:type="dxa"/>
            <w:tcBorders>
              <w:left w:val="single" w:sz="8" w:space="0" w:color="7BA0CD" w:themeColor="accent1" w:themeTint="BF"/>
              <w:right w:val="single" w:sz="8" w:space="0" w:color="7BA0CD" w:themeColor="accent1" w:themeTint="BF"/>
            </w:tcBorders>
          </w:tcPr>
          <w:p w14:paraId="0942E831" w14:textId="1DCA285F"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17%</w:t>
            </w:r>
          </w:p>
        </w:tc>
        <w:tc>
          <w:tcPr>
            <w:tcW w:w="1170" w:type="dxa"/>
            <w:tcBorders>
              <w:left w:val="single" w:sz="8" w:space="0" w:color="7BA0CD" w:themeColor="accent1" w:themeTint="BF"/>
            </w:tcBorders>
          </w:tcPr>
          <w:p w14:paraId="66D2591E" w14:textId="7309A4CA"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10</w:t>
            </w:r>
          </w:p>
        </w:tc>
      </w:tr>
      <w:tr w:rsidR="00064FED" w:rsidRPr="00D60B90" w14:paraId="5116192F"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0988736E" w14:textId="30A2B98E" w:rsidR="00064FED" w:rsidRPr="00D77C12" w:rsidRDefault="00064FED" w:rsidP="006A4240">
            <w:pPr>
              <w:pStyle w:val="Tablenormalleft"/>
              <w:jc w:val="left"/>
              <w:rPr>
                <w:b/>
                <w:szCs w:val="18"/>
              </w:rPr>
            </w:pPr>
            <w:r w:rsidRPr="007B5395">
              <w:t>25-4031</w:t>
            </w:r>
          </w:p>
        </w:tc>
        <w:tc>
          <w:tcPr>
            <w:tcW w:w="4000" w:type="dxa"/>
            <w:tcBorders>
              <w:left w:val="single" w:sz="8" w:space="0" w:color="7BA0CD" w:themeColor="accent1" w:themeTint="BF"/>
              <w:right w:val="single" w:sz="8" w:space="0" w:color="7BA0CD" w:themeColor="accent1" w:themeTint="BF"/>
            </w:tcBorders>
          </w:tcPr>
          <w:p w14:paraId="52C0F670" w14:textId="5D1B2F4D" w:rsidR="00064FED" w:rsidRPr="00D77C12"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7B5395">
              <w:t>Library Technicians</w:t>
            </w:r>
          </w:p>
        </w:tc>
        <w:tc>
          <w:tcPr>
            <w:tcW w:w="810" w:type="dxa"/>
            <w:tcBorders>
              <w:left w:val="single" w:sz="8" w:space="0" w:color="7BA0CD" w:themeColor="accent1" w:themeTint="BF"/>
              <w:right w:val="single" w:sz="8" w:space="0" w:color="7BA0CD" w:themeColor="accent1" w:themeTint="BF"/>
            </w:tcBorders>
          </w:tcPr>
          <w:p w14:paraId="4FBAF85C" w14:textId="4E3521B3"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655 </w:t>
            </w:r>
          </w:p>
        </w:tc>
        <w:tc>
          <w:tcPr>
            <w:tcW w:w="810" w:type="dxa"/>
            <w:tcBorders>
              <w:left w:val="single" w:sz="8" w:space="0" w:color="7BA0CD" w:themeColor="accent1" w:themeTint="BF"/>
              <w:right w:val="single" w:sz="8" w:space="0" w:color="7BA0CD" w:themeColor="accent1" w:themeTint="BF"/>
            </w:tcBorders>
          </w:tcPr>
          <w:p w14:paraId="52D6BACF" w14:textId="1E446387"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697 </w:t>
            </w:r>
          </w:p>
        </w:tc>
        <w:tc>
          <w:tcPr>
            <w:tcW w:w="900" w:type="dxa"/>
            <w:tcBorders>
              <w:left w:val="single" w:sz="8" w:space="0" w:color="7BA0CD" w:themeColor="accent1" w:themeTint="BF"/>
              <w:right w:val="single" w:sz="8" w:space="0" w:color="7BA0CD" w:themeColor="accent1" w:themeTint="BF"/>
            </w:tcBorders>
          </w:tcPr>
          <w:p w14:paraId="12C98BCA" w14:textId="787BA23E"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42 </w:t>
            </w:r>
          </w:p>
        </w:tc>
        <w:tc>
          <w:tcPr>
            <w:tcW w:w="900" w:type="dxa"/>
            <w:tcBorders>
              <w:left w:val="single" w:sz="8" w:space="0" w:color="7BA0CD" w:themeColor="accent1" w:themeTint="BF"/>
              <w:right w:val="single" w:sz="8" w:space="0" w:color="7BA0CD" w:themeColor="accent1" w:themeTint="BF"/>
            </w:tcBorders>
          </w:tcPr>
          <w:p w14:paraId="59049022" w14:textId="7D6E5662"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6%</w:t>
            </w:r>
          </w:p>
        </w:tc>
        <w:tc>
          <w:tcPr>
            <w:tcW w:w="1170" w:type="dxa"/>
            <w:tcBorders>
              <w:left w:val="single" w:sz="8" w:space="0" w:color="7BA0CD" w:themeColor="accent1" w:themeTint="BF"/>
            </w:tcBorders>
          </w:tcPr>
          <w:p w14:paraId="1F1A5AB2" w14:textId="2D56525C"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46</w:t>
            </w:r>
          </w:p>
        </w:tc>
      </w:tr>
      <w:tr w:rsidR="00064FED" w:rsidRPr="00D60B90" w14:paraId="160C3AAF"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28DAEE10" w14:textId="67E4E4EB" w:rsidR="00064FED" w:rsidRPr="00D77C12" w:rsidRDefault="00064FED" w:rsidP="006A4240">
            <w:pPr>
              <w:pStyle w:val="Tablenormalleft"/>
              <w:jc w:val="left"/>
              <w:rPr>
                <w:b/>
                <w:szCs w:val="18"/>
              </w:rPr>
            </w:pPr>
            <w:r w:rsidRPr="007B5395">
              <w:t>29-2012</w:t>
            </w:r>
          </w:p>
        </w:tc>
        <w:tc>
          <w:tcPr>
            <w:tcW w:w="4000" w:type="dxa"/>
            <w:tcBorders>
              <w:left w:val="single" w:sz="8" w:space="0" w:color="7BA0CD" w:themeColor="accent1" w:themeTint="BF"/>
              <w:right w:val="single" w:sz="8" w:space="0" w:color="7BA0CD" w:themeColor="accent1" w:themeTint="BF"/>
            </w:tcBorders>
          </w:tcPr>
          <w:p w14:paraId="71EBA4F1" w14:textId="4A442CF8" w:rsidR="00064FED" w:rsidRPr="00D77C12"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7B5395">
              <w:t>Medical and Clinical Laboratory Technicians</w:t>
            </w:r>
          </w:p>
        </w:tc>
        <w:tc>
          <w:tcPr>
            <w:tcW w:w="810" w:type="dxa"/>
            <w:tcBorders>
              <w:left w:val="single" w:sz="8" w:space="0" w:color="7BA0CD" w:themeColor="accent1" w:themeTint="BF"/>
              <w:right w:val="single" w:sz="8" w:space="0" w:color="7BA0CD" w:themeColor="accent1" w:themeTint="BF"/>
            </w:tcBorders>
          </w:tcPr>
          <w:p w14:paraId="7823962D" w14:textId="60602A8A"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 510 </w:t>
            </w:r>
          </w:p>
        </w:tc>
        <w:tc>
          <w:tcPr>
            <w:tcW w:w="810" w:type="dxa"/>
            <w:tcBorders>
              <w:left w:val="single" w:sz="8" w:space="0" w:color="7BA0CD" w:themeColor="accent1" w:themeTint="BF"/>
              <w:right w:val="single" w:sz="8" w:space="0" w:color="7BA0CD" w:themeColor="accent1" w:themeTint="BF"/>
            </w:tcBorders>
          </w:tcPr>
          <w:p w14:paraId="08453A75" w14:textId="71F2BB5C"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 600 </w:t>
            </w:r>
          </w:p>
        </w:tc>
        <w:tc>
          <w:tcPr>
            <w:tcW w:w="900" w:type="dxa"/>
            <w:tcBorders>
              <w:left w:val="single" w:sz="8" w:space="0" w:color="7BA0CD" w:themeColor="accent1" w:themeTint="BF"/>
              <w:right w:val="single" w:sz="8" w:space="0" w:color="7BA0CD" w:themeColor="accent1" w:themeTint="BF"/>
            </w:tcBorders>
          </w:tcPr>
          <w:p w14:paraId="62E04297" w14:textId="19D337EB"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90 </w:t>
            </w:r>
          </w:p>
        </w:tc>
        <w:tc>
          <w:tcPr>
            <w:tcW w:w="900" w:type="dxa"/>
            <w:tcBorders>
              <w:left w:val="single" w:sz="8" w:space="0" w:color="7BA0CD" w:themeColor="accent1" w:themeTint="BF"/>
              <w:right w:val="single" w:sz="8" w:space="0" w:color="7BA0CD" w:themeColor="accent1" w:themeTint="BF"/>
            </w:tcBorders>
          </w:tcPr>
          <w:p w14:paraId="50677B83" w14:textId="595D9502"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18%</w:t>
            </w:r>
          </w:p>
        </w:tc>
        <w:tc>
          <w:tcPr>
            <w:tcW w:w="1170" w:type="dxa"/>
            <w:tcBorders>
              <w:left w:val="single" w:sz="8" w:space="0" w:color="7BA0CD" w:themeColor="accent1" w:themeTint="BF"/>
            </w:tcBorders>
          </w:tcPr>
          <w:p w14:paraId="2CFA3692" w14:textId="52A30DD5"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33</w:t>
            </w:r>
          </w:p>
        </w:tc>
      </w:tr>
      <w:tr w:rsidR="00064FED" w:rsidRPr="00D60B90" w14:paraId="76A0FCE3"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01C7C168" w14:textId="18205A65" w:rsidR="00064FED" w:rsidRPr="00D77C12" w:rsidRDefault="00064FED" w:rsidP="006A4240">
            <w:pPr>
              <w:pStyle w:val="Tablenormalleft"/>
              <w:jc w:val="left"/>
              <w:rPr>
                <w:b/>
                <w:szCs w:val="18"/>
              </w:rPr>
            </w:pPr>
            <w:r w:rsidRPr="007B5395">
              <w:t>29-2032</w:t>
            </w:r>
          </w:p>
        </w:tc>
        <w:tc>
          <w:tcPr>
            <w:tcW w:w="4000" w:type="dxa"/>
            <w:tcBorders>
              <w:left w:val="single" w:sz="8" w:space="0" w:color="7BA0CD" w:themeColor="accent1" w:themeTint="BF"/>
              <w:right w:val="single" w:sz="8" w:space="0" w:color="7BA0CD" w:themeColor="accent1" w:themeTint="BF"/>
            </w:tcBorders>
          </w:tcPr>
          <w:p w14:paraId="67536EF2" w14:textId="1022E76B" w:rsidR="00064FED" w:rsidRPr="00D77C12"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7B5395">
              <w:t>Diagnostic Medical Sonographers</w:t>
            </w:r>
          </w:p>
        </w:tc>
        <w:tc>
          <w:tcPr>
            <w:tcW w:w="810" w:type="dxa"/>
            <w:tcBorders>
              <w:left w:val="single" w:sz="8" w:space="0" w:color="7BA0CD" w:themeColor="accent1" w:themeTint="BF"/>
              <w:right w:val="single" w:sz="8" w:space="0" w:color="7BA0CD" w:themeColor="accent1" w:themeTint="BF"/>
            </w:tcBorders>
          </w:tcPr>
          <w:p w14:paraId="06D434A7" w14:textId="000BE287"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203 </w:t>
            </w:r>
          </w:p>
        </w:tc>
        <w:tc>
          <w:tcPr>
            <w:tcW w:w="810" w:type="dxa"/>
            <w:tcBorders>
              <w:left w:val="single" w:sz="8" w:space="0" w:color="7BA0CD" w:themeColor="accent1" w:themeTint="BF"/>
              <w:right w:val="single" w:sz="8" w:space="0" w:color="7BA0CD" w:themeColor="accent1" w:themeTint="BF"/>
            </w:tcBorders>
          </w:tcPr>
          <w:p w14:paraId="15F4A304" w14:textId="45E77002"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252 </w:t>
            </w:r>
          </w:p>
        </w:tc>
        <w:tc>
          <w:tcPr>
            <w:tcW w:w="900" w:type="dxa"/>
            <w:tcBorders>
              <w:left w:val="single" w:sz="8" w:space="0" w:color="7BA0CD" w:themeColor="accent1" w:themeTint="BF"/>
              <w:right w:val="single" w:sz="8" w:space="0" w:color="7BA0CD" w:themeColor="accent1" w:themeTint="BF"/>
            </w:tcBorders>
          </w:tcPr>
          <w:p w14:paraId="651E9AB5" w14:textId="32FA0A17"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49 </w:t>
            </w:r>
          </w:p>
        </w:tc>
        <w:tc>
          <w:tcPr>
            <w:tcW w:w="900" w:type="dxa"/>
            <w:tcBorders>
              <w:left w:val="single" w:sz="8" w:space="0" w:color="7BA0CD" w:themeColor="accent1" w:themeTint="BF"/>
              <w:right w:val="single" w:sz="8" w:space="0" w:color="7BA0CD" w:themeColor="accent1" w:themeTint="BF"/>
            </w:tcBorders>
          </w:tcPr>
          <w:p w14:paraId="6221EBD1" w14:textId="6FAE54D6"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24%</w:t>
            </w:r>
          </w:p>
        </w:tc>
        <w:tc>
          <w:tcPr>
            <w:tcW w:w="1170" w:type="dxa"/>
            <w:tcBorders>
              <w:left w:val="single" w:sz="8" w:space="0" w:color="7BA0CD" w:themeColor="accent1" w:themeTint="BF"/>
            </w:tcBorders>
          </w:tcPr>
          <w:p w14:paraId="4A609781" w14:textId="37CF9B22"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13</w:t>
            </w:r>
          </w:p>
        </w:tc>
      </w:tr>
      <w:tr w:rsidR="00064FED" w:rsidRPr="00D60B90" w14:paraId="5BE496E8"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4A1CFF5A" w14:textId="53DE4A09" w:rsidR="00064FED" w:rsidRPr="00D77C12" w:rsidRDefault="00064FED" w:rsidP="006A4240">
            <w:pPr>
              <w:pStyle w:val="Tablenormalleft"/>
              <w:jc w:val="left"/>
              <w:rPr>
                <w:b/>
                <w:szCs w:val="18"/>
              </w:rPr>
            </w:pPr>
            <w:r w:rsidRPr="007B5395">
              <w:t>31-9097</w:t>
            </w:r>
          </w:p>
        </w:tc>
        <w:tc>
          <w:tcPr>
            <w:tcW w:w="4000" w:type="dxa"/>
            <w:tcBorders>
              <w:left w:val="single" w:sz="8" w:space="0" w:color="7BA0CD" w:themeColor="accent1" w:themeTint="BF"/>
              <w:right w:val="single" w:sz="8" w:space="0" w:color="7BA0CD" w:themeColor="accent1" w:themeTint="BF"/>
            </w:tcBorders>
          </w:tcPr>
          <w:p w14:paraId="557D0932" w14:textId="3A00A1CC" w:rsidR="00064FED" w:rsidRPr="00D77C12"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szCs w:val="18"/>
              </w:rPr>
            </w:pPr>
            <w:r w:rsidRPr="007B5395">
              <w:t>Phlebotomists</w:t>
            </w:r>
          </w:p>
        </w:tc>
        <w:tc>
          <w:tcPr>
            <w:tcW w:w="810" w:type="dxa"/>
            <w:tcBorders>
              <w:left w:val="single" w:sz="8" w:space="0" w:color="7BA0CD" w:themeColor="accent1" w:themeTint="BF"/>
              <w:right w:val="single" w:sz="8" w:space="0" w:color="7BA0CD" w:themeColor="accent1" w:themeTint="BF"/>
            </w:tcBorders>
          </w:tcPr>
          <w:p w14:paraId="38D6936A" w14:textId="0B7F6C1A"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 366 </w:t>
            </w:r>
          </w:p>
        </w:tc>
        <w:tc>
          <w:tcPr>
            <w:tcW w:w="810" w:type="dxa"/>
            <w:tcBorders>
              <w:left w:val="single" w:sz="8" w:space="0" w:color="7BA0CD" w:themeColor="accent1" w:themeTint="BF"/>
              <w:right w:val="single" w:sz="8" w:space="0" w:color="7BA0CD" w:themeColor="accent1" w:themeTint="BF"/>
            </w:tcBorders>
          </w:tcPr>
          <w:p w14:paraId="1AE21197" w14:textId="1327E393"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 419 </w:t>
            </w:r>
          </w:p>
        </w:tc>
        <w:tc>
          <w:tcPr>
            <w:tcW w:w="900" w:type="dxa"/>
            <w:tcBorders>
              <w:left w:val="single" w:sz="8" w:space="0" w:color="7BA0CD" w:themeColor="accent1" w:themeTint="BF"/>
              <w:right w:val="single" w:sz="8" w:space="0" w:color="7BA0CD" w:themeColor="accent1" w:themeTint="BF"/>
            </w:tcBorders>
          </w:tcPr>
          <w:p w14:paraId="6DC99DA7" w14:textId="7AB49ADC"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53 </w:t>
            </w:r>
          </w:p>
        </w:tc>
        <w:tc>
          <w:tcPr>
            <w:tcW w:w="900" w:type="dxa"/>
            <w:tcBorders>
              <w:left w:val="single" w:sz="8" w:space="0" w:color="7BA0CD" w:themeColor="accent1" w:themeTint="BF"/>
              <w:right w:val="single" w:sz="8" w:space="0" w:color="7BA0CD" w:themeColor="accent1" w:themeTint="BF"/>
            </w:tcBorders>
          </w:tcPr>
          <w:p w14:paraId="6AB1FAAA" w14:textId="61B49821"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14%</w:t>
            </w:r>
          </w:p>
        </w:tc>
        <w:tc>
          <w:tcPr>
            <w:tcW w:w="1170" w:type="dxa"/>
            <w:tcBorders>
              <w:left w:val="single" w:sz="8" w:space="0" w:color="7BA0CD" w:themeColor="accent1" w:themeTint="BF"/>
            </w:tcBorders>
          </w:tcPr>
          <w:p w14:paraId="48EA3448" w14:textId="08AEA358" w:rsidR="00064FED" w:rsidRPr="00D77C12"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18</w:t>
            </w:r>
          </w:p>
        </w:tc>
      </w:tr>
      <w:tr w:rsidR="00064FED" w:rsidRPr="00D60B90" w14:paraId="18F51304"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24611591" w14:textId="29F0FEF7" w:rsidR="00064FED" w:rsidRPr="00D77C12" w:rsidRDefault="00064FED" w:rsidP="006A4240">
            <w:pPr>
              <w:pStyle w:val="Tablenormalleft"/>
              <w:jc w:val="left"/>
              <w:rPr>
                <w:b/>
                <w:szCs w:val="18"/>
              </w:rPr>
            </w:pPr>
            <w:r w:rsidRPr="007B5395">
              <w:t>33-9092</w:t>
            </w:r>
          </w:p>
        </w:tc>
        <w:tc>
          <w:tcPr>
            <w:tcW w:w="4000" w:type="dxa"/>
            <w:tcBorders>
              <w:left w:val="single" w:sz="8" w:space="0" w:color="7BA0CD" w:themeColor="accent1" w:themeTint="BF"/>
              <w:right w:val="single" w:sz="8" w:space="0" w:color="7BA0CD" w:themeColor="accent1" w:themeTint="BF"/>
            </w:tcBorders>
          </w:tcPr>
          <w:p w14:paraId="3B8516CB" w14:textId="3AB518C9" w:rsidR="00064FED" w:rsidRPr="00D77C12"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szCs w:val="18"/>
              </w:rPr>
            </w:pPr>
            <w:r w:rsidRPr="007B5395">
              <w:t>Lifeguards, Ski Patrol, and Other Recreational Protective Service Workers</w:t>
            </w:r>
          </w:p>
        </w:tc>
        <w:tc>
          <w:tcPr>
            <w:tcW w:w="810" w:type="dxa"/>
            <w:tcBorders>
              <w:left w:val="single" w:sz="8" w:space="0" w:color="7BA0CD" w:themeColor="accent1" w:themeTint="BF"/>
              <w:right w:val="single" w:sz="8" w:space="0" w:color="7BA0CD" w:themeColor="accent1" w:themeTint="BF"/>
            </w:tcBorders>
          </w:tcPr>
          <w:p w14:paraId="7BC84FA5" w14:textId="0E05F3A6"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568 </w:t>
            </w:r>
          </w:p>
        </w:tc>
        <w:tc>
          <w:tcPr>
            <w:tcW w:w="810" w:type="dxa"/>
            <w:tcBorders>
              <w:left w:val="single" w:sz="8" w:space="0" w:color="7BA0CD" w:themeColor="accent1" w:themeTint="BF"/>
              <w:right w:val="single" w:sz="8" w:space="0" w:color="7BA0CD" w:themeColor="accent1" w:themeTint="BF"/>
            </w:tcBorders>
          </w:tcPr>
          <w:p w14:paraId="4EA46E58" w14:textId="3FFAF939"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589 </w:t>
            </w:r>
          </w:p>
        </w:tc>
        <w:tc>
          <w:tcPr>
            <w:tcW w:w="900" w:type="dxa"/>
            <w:tcBorders>
              <w:left w:val="single" w:sz="8" w:space="0" w:color="7BA0CD" w:themeColor="accent1" w:themeTint="BF"/>
              <w:right w:val="single" w:sz="8" w:space="0" w:color="7BA0CD" w:themeColor="accent1" w:themeTint="BF"/>
            </w:tcBorders>
          </w:tcPr>
          <w:p w14:paraId="1529F41F" w14:textId="6DFD465F"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21 </w:t>
            </w:r>
          </w:p>
        </w:tc>
        <w:tc>
          <w:tcPr>
            <w:tcW w:w="900" w:type="dxa"/>
            <w:tcBorders>
              <w:left w:val="single" w:sz="8" w:space="0" w:color="7BA0CD" w:themeColor="accent1" w:themeTint="BF"/>
              <w:right w:val="single" w:sz="8" w:space="0" w:color="7BA0CD" w:themeColor="accent1" w:themeTint="BF"/>
            </w:tcBorders>
          </w:tcPr>
          <w:p w14:paraId="05870E0D" w14:textId="0E37A5FE"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4%</w:t>
            </w:r>
          </w:p>
        </w:tc>
        <w:tc>
          <w:tcPr>
            <w:tcW w:w="1170" w:type="dxa"/>
            <w:tcBorders>
              <w:left w:val="single" w:sz="8" w:space="0" w:color="7BA0CD" w:themeColor="accent1" w:themeTint="BF"/>
            </w:tcBorders>
          </w:tcPr>
          <w:p w14:paraId="2932B276" w14:textId="622477DB" w:rsidR="00064FED" w:rsidRPr="00D77C12"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44</w:t>
            </w:r>
          </w:p>
        </w:tc>
      </w:tr>
      <w:tr w:rsidR="00064FED" w:rsidRPr="00D60B90" w14:paraId="4C1A36AF"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65FCE330" w14:textId="0823EB1D" w:rsidR="00064FED" w:rsidRDefault="00064FED" w:rsidP="006A4240">
            <w:pPr>
              <w:pStyle w:val="Tablenormalleft"/>
              <w:jc w:val="left"/>
              <w:rPr>
                <w:color w:val="000000"/>
                <w:szCs w:val="18"/>
              </w:rPr>
            </w:pPr>
            <w:r w:rsidRPr="007B5395">
              <w:t>43-5032</w:t>
            </w:r>
          </w:p>
        </w:tc>
        <w:tc>
          <w:tcPr>
            <w:tcW w:w="4000" w:type="dxa"/>
            <w:tcBorders>
              <w:left w:val="single" w:sz="8" w:space="0" w:color="7BA0CD" w:themeColor="accent1" w:themeTint="BF"/>
              <w:right w:val="single" w:sz="8" w:space="0" w:color="7BA0CD" w:themeColor="accent1" w:themeTint="BF"/>
            </w:tcBorders>
          </w:tcPr>
          <w:p w14:paraId="31A4A3FF" w14:textId="37F52A07" w:rsidR="00064FED"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7B5395">
              <w:t>Dispatchers, Except Police, Fire, and Ambulance</w:t>
            </w:r>
          </w:p>
        </w:tc>
        <w:tc>
          <w:tcPr>
            <w:tcW w:w="810" w:type="dxa"/>
            <w:tcBorders>
              <w:left w:val="single" w:sz="8" w:space="0" w:color="7BA0CD" w:themeColor="accent1" w:themeTint="BF"/>
              <w:right w:val="single" w:sz="8" w:space="0" w:color="7BA0CD" w:themeColor="accent1" w:themeTint="BF"/>
            </w:tcBorders>
          </w:tcPr>
          <w:p w14:paraId="14343545" w14:textId="42900302"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999 </w:t>
            </w:r>
          </w:p>
        </w:tc>
        <w:tc>
          <w:tcPr>
            <w:tcW w:w="810" w:type="dxa"/>
            <w:tcBorders>
              <w:left w:val="single" w:sz="8" w:space="0" w:color="7BA0CD" w:themeColor="accent1" w:themeTint="BF"/>
              <w:right w:val="single" w:sz="8" w:space="0" w:color="7BA0CD" w:themeColor="accent1" w:themeTint="BF"/>
            </w:tcBorders>
          </w:tcPr>
          <w:p w14:paraId="31EC646B" w14:textId="36F03D2A"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1,090 </w:t>
            </w:r>
          </w:p>
        </w:tc>
        <w:tc>
          <w:tcPr>
            <w:tcW w:w="900" w:type="dxa"/>
            <w:tcBorders>
              <w:left w:val="single" w:sz="8" w:space="0" w:color="7BA0CD" w:themeColor="accent1" w:themeTint="BF"/>
              <w:right w:val="single" w:sz="8" w:space="0" w:color="7BA0CD" w:themeColor="accent1" w:themeTint="BF"/>
            </w:tcBorders>
          </w:tcPr>
          <w:p w14:paraId="54D53A3B" w14:textId="4A994D59"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91 </w:t>
            </w:r>
          </w:p>
        </w:tc>
        <w:tc>
          <w:tcPr>
            <w:tcW w:w="900" w:type="dxa"/>
            <w:tcBorders>
              <w:left w:val="single" w:sz="8" w:space="0" w:color="7BA0CD" w:themeColor="accent1" w:themeTint="BF"/>
              <w:right w:val="single" w:sz="8" w:space="0" w:color="7BA0CD" w:themeColor="accent1" w:themeTint="BF"/>
            </w:tcBorders>
          </w:tcPr>
          <w:p w14:paraId="1327CFB7" w14:textId="0C9C4FC0"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9%</w:t>
            </w:r>
          </w:p>
        </w:tc>
        <w:tc>
          <w:tcPr>
            <w:tcW w:w="1170" w:type="dxa"/>
            <w:tcBorders>
              <w:left w:val="single" w:sz="8" w:space="0" w:color="7BA0CD" w:themeColor="accent1" w:themeTint="BF"/>
            </w:tcBorders>
          </w:tcPr>
          <w:p w14:paraId="795850A1" w14:textId="60FB29CA"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49</w:t>
            </w:r>
          </w:p>
        </w:tc>
      </w:tr>
      <w:tr w:rsidR="00064FED" w:rsidRPr="00D60B90" w14:paraId="3C9704F2"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28393891" w14:textId="0D302996" w:rsidR="00064FED" w:rsidRDefault="00064FED" w:rsidP="006A4240">
            <w:pPr>
              <w:pStyle w:val="Tablenormalleft"/>
              <w:jc w:val="left"/>
              <w:rPr>
                <w:color w:val="000000"/>
                <w:szCs w:val="18"/>
              </w:rPr>
            </w:pPr>
            <w:r w:rsidRPr="007B5395">
              <w:t>45-2093</w:t>
            </w:r>
          </w:p>
        </w:tc>
        <w:tc>
          <w:tcPr>
            <w:tcW w:w="4000" w:type="dxa"/>
            <w:tcBorders>
              <w:left w:val="single" w:sz="8" w:space="0" w:color="7BA0CD" w:themeColor="accent1" w:themeTint="BF"/>
              <w:right w:val="single" w:sz="8" w:space="0" w:color="7BA0CD" w:themeColor="accent1" w:themeTint="BF"/>
            </w:tcBorders>
          </w:tcPr>
          <w:p w14:paraId="363BDECE" w14:textId="2E5DD58B" w:rsidR="00064FED"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color w:val="000000"/>
                <w:szCs w:val="18"/>
              </w:rPr>
            </w:pPr>
            <w:r w:rsidRPr="007B5395">
              <w:t>Farmworkers, Farm, Ranch, and Aquacultural Animals</w:t>
            </w:r>
          </w:p>
        </w:tc>
        <w:tc>
          <w:tcPr>
            <w:tcW w:w="810" w:type="dxa"/>
            <w:tcBorders>
              <w:left w:val="single" w:sz="8" w:space="0" w:color="7BA0CD" w:themeColor="accent1" w:themeTint="BF"/>
              <w:right w:val="single" w:sz="8" w:space="0" w:color="7BA0CD" w:themeColor="accent1" w:themeTint="BF"/>
            </w:tcBorders>
          </w:tcPr>
          <w:p w14:paraId="31DF4D4B" w14:textId="0FA121B6"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2,600 </w:t>
            </w:r>
          </w:p>
        </w:tc>
        <w:tc>
          <w:tcPr>
            <w:tcW w:w="810" w:type="dxa"/>
            <w:tcBorders>
              <w:left w:val="single" w:sz="8" w:space="0" w:color="7BA0CD" w:themeColor="accent1" w:themeTint="BF"/>
              <w:right w:val="single" w:sz="8" w:space="0" w:color="7BA0CD" w:themeColor="accent1" w:themeTint="BF"/>
            </w:tcBorders>
          </w:tcPr>
          <w:p w14:paraId="5EA50286" w14:textId="4087C203"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2,495 </w:t>
            </w:r>
          </w:p>
        </w:tc>
        <w:tc>
          <w:tcPr>
            <w:tcW w:w="900" w:type="dxa"/>
            <w:tcBorders>
              <w:left w:val="single" w:sz="8" w:space="0" w:color="7BA0CD" w:themeColor="accent1" w:themeTint="BF"/>
              <w:right w:val="single" w:sz="8" w:space="0" w:color="7BA0CD" w:themeColor="accent1" w:themeTint="BF"/>
            </w:tcBorders>
          </w:tcPr>
          <w:p w14:paraId="7B5EA512" w14:textId="0C6BDB22"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(105)</w:t>
            </w:r>
          </w:p>
        </w:tc>
        <w:tc>
          <w:tcPr>
            <w:tcW w:w="900" w:type="dxa"/>
            <w:tcBorders>
              <w:left w:val="single" w:sz="8" w:space="0" w:color="7BA0CD" w:themeColor="accent1" w:themeTint="BF"/>
              <w:right w:val="single" w:sz="8" w:space="0" w:color="7BA0CD" w:themeColor="accent1" w:themeTint="BF"/>
            </w:tcBorders>
          </w:tcPr>
          <w:p w14:paraId="78EF8DEF" w14:textId="5E2B65C5"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 xml:space="preserve"> (4%)</w:t>
            </w:r>
          </w:p>
        </w:tc>
        <w:tc>
          <w:tcPr>
            <w:tcW w:w="1170" w:type="dxa"/>
            <w:tcBorders>
              <w:left w:val="single" w:sz="8" w:space="0" w:color="7BA0CD" w:themeColor="accent1" w:themeTint="BF"/>
            </w:tcBorders>
          </w:tcPr>
          <w:p w14:paraId="19250755" w14:textId="1827387E"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82</w:t>
            </w:r>
          </w:p>
        </w:tc>
      </w:tr>
      <w:tr w:rsidR="00064FED" w:rsidRPr="00D60B90" w14:paraId="795F4F48"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032C66A7" w14:textId="57F04C02" w:rsidR="00064FED" w:rsidRDefault="00064FED" w:rsidP="006A4240">
            <w:pPr>
              <w:pStyle w:val="Tablenormalleft"/>
              <w:jc w:val="left"/>
              <w:rPr>
                <w:color w:val="000000"/>
                <w:szCs w:val="18"/>
              </w:rPr>
            </w:pPr>
            <w:r w:rsidRPr="007B5395">
              <w:t>47-2031</w:t>
            </w:r>
          </w:p>
        </w:tc>
        <w:tc>
          <w:tcPr>
            <w:tcW w:w="4000" w:type="dxa"/>
            <w:tcBorders>
              <w:left w:val="single" w:sz="8" w:space="0" w:color="7BA0CD" w:themeColor="accent1" w:themeTint="BF"/>
              <w:right w:val="single" w:sz="8" w:space="0" w:color="7BA0CD" w:themeColor="accent1" w:themeTint="BF"/>
            </w:tcBorders>
          </w:tcPr>
          <w:p w14:paraId="596ABEDA" w14:textId="0C716E0A" w:rsidR="00064FED"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7B5395">
              <w:t>Carpenters</w:t>
            </w:r>
          </w:p>
        </w:tc>
        <w:tc>
          <w:tcPr>
            <w:tcW w:w="810" w:type="dxa"/>
            <w:tcBorders>
              <w:left w:val="single" w:sz="8" w:space="0" w:color="7BA0CD" w:themeColor="accent1" w:themeTint="BF"/>
              <w:right w:val="single" w:sz="8" w:space="0" w:color="7BA0CD" w:themeColor="accent1" w:themeTint="BF"/>
            </w:tcBorders>
          </w:tcPr>
          <w:p w14:paraId="6F289526" w14:textId="1EE0368E"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3,348 </w:t>
            </w:r>
          </w:p>
        </w:tc>
        <w:tc>
          <w:tcPr>
            <w:tcW w:w="810" w:type="dxa"/>
            <w:tcBorders>
              <w:left w:val="single" w:sz="8" w:space="0" w:color="7BA0CD" w:themeColor="accent1" w:themeTint="BF"/>
              <w:right w:val="single" w:sz="8" w:space="0" w:color="7BA0CD" w:themeColor="accent1" w:themeTint="BF"/>
            </w:tcBorders>
          </w:tcPr>
          <w:p w14:paraId="02EECF7D" w14:textId="13B9B3A8"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3,194 </w:t>
            </w:r>
          </w:p>
        </w:tc>
        <w:tc>
          <w:tcPr>
            <w:tcW w:w="900" w:type="dxa"/>
            <w:tcBorders>
              <w:left w:val="single" w:sz="8" w:space="0" w:color="7BA0CD" w:themeColor="accent1" w:themeTint="BF"/>
              <w:right w:val="single" w:sz="8" w:space="0" w:color="7BA0CD" w:themeColor="accent1" w:themeTint="BF"/>
            </w:tcBorders>
          </w:tcPr>
          <w:p w14:paraId="1E9AAB7B" w14:textId="3C2DDFD8"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(154)</w:t>
            </w:r>
          </w:p>
        </w:tc>
        <w:tc>
          <w:tcPr>
            <w:tcW w:w="900" w:type="dxa"/>
            <w:tcBorders>
              <w:left w:val="single" w:sz="8" w:space="0" w:color="7BA0CD" w:themeColor="accent1" w:themeTint="BF"/>
              <w:right w:val="single" w:sz="8" w:space="0" w:color="7BA0CD" w:themeColor="accent1" w:themeTint="BF"/>
            </w:tcBorders>
          </w:tcPr>
          <w:p w14:paraId="2EB14296" w14:textId="2F8896DB"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 xml:space="preserve"> (5%)</w:t>
            </w:r>
          </w:p>
        </w:tc>
        <w:tc>
          <w:tcPr>
            <w:tcW w:w="1170" w:type="dxa"/>
            <w:tcBorders>
              <w:left w:val="single" w:sz="8" w:space="0" w:color="7BA0CD" w:themeColor="accent1" w:themeTint="BF"/>
            </w:tcBorders>
          </w:tcPr>
          <w:p w14:paraId="6154481C" w14:textId="52875CF4"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53</w:t>
            </w:r>
          </w:p>
        </w:tc>
      </w:tr>
      <w:tr w:rsidR="00064FED" w:rsidRPr="00D60B90" w14:paraId="33D9FB7D"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2CEEC0B9" w14:textId="3288ECC5" w:rsidR="00064FED" w:rsidRDefault="00064FED" w:rsidP="006A4240">
            <w:pPr>
              <w:pStyle w:val="Tablenormalleft"/>
              <w:jc w:val="left"/>
              <w:rPr>
                <w:color w:val="000000"/>
                <w:szCs w:val="18"/>
              </w:rPr>
            </w:pPr>
            <w:r w:rsidRPr="007B5395">
              <w:t>47-2111</w:t>
            </w:r>
          </w:p>
        </w:tc>
        <w:tc>
          <w:tcPr>
            <w:tcW w:w="4000" w:type="dxa"/>
            <w:tcBorders>
              <w:left w:val="single" w:sz="8" w:space="0" w:color="7BA0CD" w:themeColor="accent1" w:themeTint="BF"/>
              <w:right w:val="single" w:sz="8" w:space="0" w:color="7BA0CD" w:themeColor="accent1" w:themeTint="BF"/>
            </w:tcBorders>
          </w:tcPr>
          <w:p w14:paraId="5E643F30" w14:textId="17C61F95" w:rsidR="00064FED"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color w:val="000000"/>
                <w:szCs w:val="18"/>
              </w:rPr>
            </w:pPr>
            <w:r w:rsidRPr="007B5395">
              <w:t>Electricians</w:t>
            </w:r>
          </w:p>
        </w:tc>
        <w:tc>
          <w:tcPr>
            <w:tcW w:w="810" w:type="dxa"/>
            <w:tcBorders>
              <w:left w:val="single" w:sz="8" w:space="0" w:color="7BA0CD" w:themeColor="accent1" w:themeTint="BF"/>
              <w:right w:val="single" w:sz="8" w:space="0" w:color="7BA0CD" w:themeColor="accent1" w:themeTint="BF"/>
            </w:tcBorders>
          </w:tcPr>
          <w:p w14:paraId="46D9074D" w14:textId="3B336427"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1,906 </w:t>
            </w:r>
          </w:p>
        </w:tc>
        <w:tc>
          <w:tcPr>
            <w:tcW w:w="810" w:type="dxa"/>
            <w:tcBorders>
              <w:left w:val="single" w:sz="8" w:space="0" w:color="7BA0CD" w:themeColor="accent1" w:themeTint="BF"/>
              <w:right w:val="single" w:sz="8" w:space="0" w:color="7BA0CD" w:themeColor="accent1" w:themeTint="BF"/>
            </w:tcBorders>
          </w:tcPr>
          <w:p w14:paraId="0EFA0046" w14:textId="3E6E980A"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2,111 </w:t>
            </w:r>
          </w:p>
        </w:tc>
        <w:tc>
          <w:tcPr>
            <w:tcW w:w="900" w:type="dxa"/>
            <w:tcBorders>
              <w:left w:val="single" w:sz="8" w:space="0" w:color="7BA0CD" w:themeColor="accent1" w:themeTint="BF"/>
              <w:right w:val="single" w:sz="8" w:space="0" w:color="7BA0CD" w:themeColor="accent1" w:themeTint="BF"/>
            </w:tcBorders>
          </w:tcPr>
          <w:p w14:paraId="27E9351A" w14:textId="219EB764"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205 </w:t>
            </w:r>
          </w:p>
        </w:tc>
        <w:tc>
          <w:tcPr>
            <w:tcW w:w="900" w:type="dxa"/>
            <w:tcBorders>
              <w:left w:val="single" w:sz="8" w:space="0" w:color="7BA0CD" w:themeColor="accent1" w:themeTint="BF"/>
              <w:right w:val="single" w:sz="8" w:space="0" w:color="7BA0CD" w:themeColor="accent1" w:themeTint="BF"/>
            </w:tcBorders>
          </w:tcPr>
          <w:p w14:paraId="38A6FEB6" w14:textId="31117747"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11%</w:t>
            </w:r>
          </w:p>
        </w:tc>
        <w:tc>
          <w:tcPr>
            <w:tcW w:w="1170" w:type="dxa"/>
            <w:tcBorders>
              <w:left w:val="single" w:sz="8" w:space="0" w:color="7BA0CD" w:themeColor="accent1" w:themeTint="BF"/>
            </w:tcBorders>
          </w:tcPr>
          <w:p w14:paraId="798664E7" w14:textId="22967E7E"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82</w:t>
            </w:r>
          </w:p>
        </w:tc>
      </w:tr>
      <w:tr w:rsidR="00064FED" w:rsidRPr="00D60B90" w14:paraId="233BAE5D"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418966A6" w14:textId="6E4090DD" w:rsidR="00064FED" w:rsidRDefault="00064FED" w:rsidP="006A4240">
            <w:pPr>
              <w:pStyle w:val="Tablenormalleft"/>
              <w:jc w:val="left"/>
              <w:rPr>
                <w:color w:val="000000"/>
                <w:szCs w:val="18"/>
              </w:rPr>
            </w:pPr>
            <w:r w:rsidRPr="007B5395">
              <w:t>47-2181</w:t>
            </w:r>
          </w:p>
        </w:tc>
        <w:tc>
          <w:tcPr>
            <w:tcW w:w="4000" w:type="dxa"/>
            <w:tcBorders>
              <w:left w:val="single" w:sz="8" w:space="0" w:color="7BA0CD" w:themeColor="accent1" w:themeTint="BF"/>
              <w:right w:val="single" w:sz="8" w:space="0" w:color="7BA0CD" w:themeColor="accent1" w:themeTint="BF"/>
            </w:tcBorders>
          </w:tcPr>
          <w:p w14:paraId="4F33CD3D" w14:textId="7BBAB816" w:rsidR="00064FED"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7B5395">
              <w:t>Roofers</w:t>
            </w:r>
          </w:p>
        </w:tc>
        <w:tc>
          <w:tcPr>
            <w:tcW w:w="810" w:type="dxa"/>
            <w:tcBorders>
              <w:left w:val="single" w:sz="8" w:space="0" w:color="7BA0CD" w:themeColor="accent1" w:themeTint="BF"/>
              <w:right w:val="single" w:sz="8" w:space="0" w:color="7BA0CD" w:themeColor="accent1" w:themeTint="BF"/>
            </w:tcBorders>
          </w:tcPr>
          <w:p w14:paraId="11557C52" w14:textId="20DA5970"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646 </w:t>
            </w:r>
          </w:p>
        </w:tc>
        <w:tc>
          <w:tcPr>
            <w:tcW w:w="810" w:type="dxa"/>
            <w:tcBorders>
              <w:left w:val="single" w:sz="8" w:space="0" w:color="7BA0CD" w:themeColor="accent1" w:themeTint="BF"/>
              <w:right w:val="single" w:sz="8" w:space="0" w:color="7BA0CD" w:themeColor="accent1" w:themeTint="BF"/>
            </w:tcBorders>
          </w:tcPr>
          <w:p w14:paraId="178F237E" w14:textId="3AEBAEB7"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654 </w:t>
            </w:r>
          </w:p>
        </w:tc>
        <w:tc>
          <w:tcPr>
            <w:tcW w:w="900" w:type="dxa"/>
            <w:tcBorders>
              <w:left w:val="single" w:sz="8" w:space="0" w:color="7BA0CD" w:themeColor="accent1" w:themeTint="BF"/>
              <w:right w:val="single" w:sz="8" w:space="0" w:color="7BA0CD" w:themeColor="accent1" w:themeTint="BF"/>
            </w:tcBorders>
          </w:tcPr>
          <w:p w14:paraId="69515A1C" w14:textId="076C69CB"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8 </w:t>
            </w:r>
          </w:p>
        </w:tc>
        <w:tc>
          <w:tcPr>
            <w:tcW w:w="900" w:type="dxa"/>
            <w:tcBorders>
              <w:left w:val="single" w:sz="8" w:space="0" w:color="7BA0CD" w:themeColor="accent1" w:themeTint="BF"/>
              <w:right w:val="single" w:sz="8" w:space="0" w:color="7BA0CD" w:themeColor="accent1" w:themeTint="BF"/>
            </w:tcBorders>
          </w:tcPr>
          <w:p w14:paraId="70FACCFE" w14:textId="148A158E"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w:t>
            </w:r>
          </w:p>
        </w:tc>
        <w:tc>
          <w:tcPr>
            <w:tcW w:w="1170" w:type="dxa"/>
            <w:tcBorders>
              <w:left w:val="single" w:sz="8" w:space="0" w:color="7BA0CD" w:themeColor="accent1" w:themeTint="BF"/>
            </w:tcBorders>
          </w:tcPr>
          <w:p w14:paraId="609730E5" w14:textId="4038909A"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30</w:t>
            </w:r>
          </w:p>
        </w:tc>
      </w:tr>
      <w:tr w:rsidR="00064FED" w:rsidRPr="00D60B90" w14:paraId="2885A82D"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4CBD9C4C" w14:textId="6CDF8584" w:rsidR="00064FED" w:rsidRDefault="00064FED" w:rsidP="006A4240">
            <w:pPr>
              <w:pStyle w:val="Tablenormalleft"/>
              <w:jc w:val="left"/>
              <w:rPr>
                <w:color w:val="000000"/>
                <w:szCs w:val="18"/>
              </w:rPr>
            </w:pPr>
            <w:r w:rsidRPr="007B5395">
              <w:t>49-2022</w:t>
            </w:r>
          </w:p>
        </w:tc>
        <w:tc>
          <w:tcPr>
            <w:tcW w:w="4000" w:type="dxa"/>
            <w:tcBorders>
              <w:left w:val="single" w:sz="8" w:space="0" w:color="7BA0CD" w:themeColor="accent1" w:themeTint="BF"/>
              <w:right w:val="single" w:sz="8" w:space="0" w:color="7BA0CD" w:themeColor="accent1" w:themeTint="BF"/>
            </w:tcBorders>
          </w:tcPr>
          <w:p w14:paraId="2121E5BE" w14:textId="0AEF583C" w:rsidR="00064FED"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color w:val="000000"/>
                <w:szCs w:val="18"/>
              </w:rPr>
            </w:pPr>
            <w:r w:rsidRPr="007B5395">
              <w:t>Telecommunications Equipment Installers and Repairers, Except Line Installers</w:t>
            </w:r>
          </w:p>
        </w:tc>
        <w:tc>
          <w:tcPr>
            <w:tcW w:w="810" w:type="dxa"/>
            <w:tcBorders>
              <w:left w:val="single" w:sz="8" w:space="0" w:color="7BA0CD" w:themeColor="accent1" w:themeTint="BF"/>
              <w:right w:val="single" w:sz="8" w:space="0" w:color="7BA0CD" w:themeColor="accent1" w:themeTint="BF"/>
            </w:tcBorders>
          </w:tcPr>
          <w:p w14:paraId="2C7768E4" w14:textId="1EF9F362"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683 </w:t>
            </w:r>
          </w:p>
        </w:tc>
        <w:tc>
          <w:tcPr>
            <w:tcW w:w="810" w:type="dxa"/>
            <w:tcBorders>
              <w:left w:val="single" w:sz="8" w:space="0" w:color="7BA0CD" w:themeColor="accent1" w:themeTint="BF"/>
              <w:right w:val="single" w:sz="8" w:space="0" w:color="7BA0CD" w:themeColor="accent1" w:themeTint="BF"/>
            </w:tcBorders>
          </w:tcPr>
          <w:p w14:paraId="7BFFB583" w14:textId="31047D45"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801 </w:t>
            </w:r>
          </w:p>
        </w:tc>
        <w:tc>
          <w:tcPr>
            <w:tcW w:w="900" w:type="dxa"/>
            <w:tcBorders>
              <w:left w:val="single" w:sz="8" w:space="0" w:color="7BA0CD" w:themeColor="accent1" w:themeTint="BF"/>
              <w:right w:val="single" w:sz="8" w:space="0" w:color="7BA0CD" w:themeColor="accent1" w:themeTint="BF"/>
            </w:tcBorders>
          </w:tcPr>
          <w:p w14:paraId="1BE355C2" w14:textId="70271202"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118 </w:t>
            </w:r>
          </w:p>
        </w:tc>
        <w:tc>
          <w:tcPr>
            <w:tcW w:w="900" w:type="dxa"/>
            <w:tcBorders>
              <w:left w:val="single" w:sz="8" w:space="0" w:color="7BA0CD" w:themeColor="accent1" w:themeTint="BF"/>
              <w:right w:val="single" w:sz="8" w:space="0" w:color="7BA0CD" w:themeColor="accent1" w:themeTint="BF"/>
            </w:tcBorders>
          </w:tcPr>
          <w:p w14:paraId="7B5DADFE" w14:textId="39FCDFF9"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17%</w:t>
            </w:r>
          </w:p>
        </w:tc>
        <w:tc>
          <w:tcPr>
            <w:tcW w:w="1170" w:type="dxa"/>
            <w:tcBorders>
              <w:left w:val="single" w:sz="8" w:space="0" w:color="7BA0CD" w:themeColor="accent1" w:themeTint="BF"/>
            </w:tcBorders>
          </w:tcPr>
          <w:p w14:paraId="53E8E428" w14:textId="05124CEF"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34</w:t>
            </w:r>
          </w:p>
        </w:tc>
      </w:tr>
      <w:tr w:rsidR="00064FED" w:rsidRPr="00D60B90" w14:paraId="3FE746E6"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4D43EF5D" w14:textId="635C3E07" w:rsidR="00064FED" w:rsidRDefault="00064FED" w:rsidP="006A4240">
            <w:pPr>
              <w:pStyle w:val="Tablenormalleft"/>
              <w:jc w:val="left"/>
              <w:rPr>
                <w:color w:val="000000"/>
                <w:szCs w:val="18"/>
              </w:rPr>
            </w:pPr>
            <w:r w:rsidRPr="007B5395">
              <w:t>49-9041</w:t>
            </w:r>
          </w:p>
        </w:tc>
        <w:tc>
          <w:tcPr>
            <w:tcW w:w="4000" w:type="dxa"/>
            <w:tcBorders>
              <w:left w:val="single" w:sz="8" w:space="0" w:color="7BA0CD" w:themeColor="accent1" w:themeTint="BF"/>
              <w:right w:val="single" w:sz="8" w:space="0" w:color="7BA0CD" w:themeColor="accent1" w:themeTint="BF"/>
            </w:tcBorders>
          </w:tcPr>
          <w:p w14:paraId="42429655" w14:textId="60BAC389" w:rsidR="00064FED"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7B5395">
              <w:t>Industrial Machinery Mechanics</w:t>
            </w:r>
          </w:p>
        </w:tc>
        <w:tc>
          <w:tcPr>
            <w:tcW w:w="810" w:type="dxa"/>
            <w:tcBorders>
              <w:left w:val="single" w:sz="8" w:space="0" w:color="7BA0CD" w:themeColor="accent1" w:themeTint="BF"/>
              <w:right w:val="single" w:sz="8" w:space="0" w:color="7BA0CD" w:themeColor="accent1" w:themeTint="BF"/>
            </w:tcBorders>
          </w:tcPr>
          <w:p w14:paraId="0F8E02AA" w14:textId="3FC841DD"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1,442 </w:t>
            </w:r>
          </w:p>
        </w:tc>
        <w:tc>
          <w:tcPr>
            <w:tcW w:w="810" w:type="dxa"/>
            <w:tcBorders>
              <w:left w:val="single" w:sz="8" w:space="0" w:color="7BA0CD" w:themeColor="accent1" w:themeTint="BF"/>
              <w:right w:val="single" w:sz="8" w:space="0" w:color="7BA0CD" w:themeColor="accent1" w:themeTint="BF"/>
            </w:tcBorders>
          </w:tcPr>
          <w:p w14:paraId="5608E7AF" w14:textId="3AE925FC"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1,678 </w:t>
            </w:r>
          </w:p>
        </w:tc>
        <w:tc>
          <w:tcPr>
            <w:tcW w:w="900" w:type="dxa"/>
            <w:tcBorders>
              <w:left w:val="single" w:sz="8" w:space="0" w:color="7BA0CD" w:themeColor="accent1" w:themeTint="BF"/>
              <w:right w:val="single" w:sz="8" w:space="0" w:color="7BA0CD" w:themeColor="accent1" w:themeTint="BF"/>
            </w:tcBorders>
          </w:tcPr>
          <w:p w14:paraId="2EACF9B2" w14:textId="7AFB16CE"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236 </w:t>
            </w:r>
          </w:p>
        </w:tc>
        <w:tc>
          <w:tcPr>
            <w:tcW w:w="900" w:type="dxa"/>
            <w:tcBorders>
              <w:left w:val="single" w:sz="8" w:space="0" w:color="7BA0CD" w:themeColor="accent1" w:themeTint="BF"/>
              <w:right w:val="single" w:sz="8" w:space="0" w:color="7BA0CD" w:themeColor="accent1" w:themeTint="BF"/>
            </w:tcBorders>
          </w:tcPr>
          <w:p w14:paraId="3CF3E254" w14:textId="566EEF50"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16%</w:t>
            </w:r>
          </w:p>
        </w:tc>
        <w:tc>
          <w:tcPr>
            <w:tcW w:w="1170" w:type="dxa"/>
            <w:tcBorders>
              <w:left w:val="single" w:sz="8" w:space="0" w:color="7BA0CD" w:themeColor="accent1" w:themeTint="BF"/>
            </w:tcBorders>
          </w:tcPr>
          <w:p w14:paraId="733E80FC" w14:textId="36B3FE08"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94</w:t>
            </w:r>
          </w:p>
        </w:tc>
      </w:tr>
      <w:tr w:rsidR="00064FED" w:rsidRPr="00D60B90" w14:paraId="77694549"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57B3C0AE" w14:textId="5BED062E" w:rsidR="00064FED" w:rsidRDefault="00064FED" w:rsidP="006A4240">
            <w:pPr>
              <w:pStyle w:val="Tablenormalleft"/>
              <w:jc w:val="left"/>
              <w:rPr>
                <w:color w:val="000000"/>
                <w:szCs w:val="18"/>
              </w:rPr>
            </w:pPr>
            <w:r w:rsidRPr="007B5395">
              <w:t>49-9051</w:t>
            </w:r>
          </w:p>
        </w:tc>
        <w:tc>
          <w:tcPr>
            <w:tcW w:w="4000" w:type="dxa"/>
            <w:tcBorders>
              <w:left w:val="single" w:sz="8" w:space="0" w:color="7BA0CD" w:themeColor="accent1" w:themeTint="BF"/>
              <w:right w:val="single" w:sz="8" w:space="0" w:color="7BA0CD" w:themeColor="accent1" w:themeTint="BF"/>
            </w:tcBorders>
          </w:tcPr>
          <w:p w14:paraId="25F3BB10" w14:textId="05571FE6" w:rsidR="00064FED"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color w:val="000000"/>
                <w:szCs w:val="18"/>
              </w:rPr>
            </w:pPr>
            <w:r w:rsidRPr="007B5395">
              <w:t>Electrical Power-Line Installers and Repairers</w:t>
            </w:r>
          </w:p>
        </w:tc>
        <w:tc>
          <w:tcPr>
            <w:tcW w:w="810" w:type="dxa"/>
            <w:tcBorders>
              <w:left w:val="single" w:sz="8" w:space="0" w:color="7BA0CD" w:themeColor="accent1" w:themeTint="BF"/>
              <w:right w:val="single" w:sz="8" w:space="0" w:color="7BA0CD" w:themeColor="accent1" w:themeTint="BF"/>
            </w:tcBorders>
          </w:tcPr>
          <w:p w14:paraId="125C2537" w14:textId="1D2559E1"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483 </w:t>
            </w:r>
          </w:p>
        </w:tc>
        <w:tc>
          <w:tcPr>
            <w:tcW w:w="810" w:type="dxa"/>
            <w:tcBorders>
              <w:left w:val="single" w:sz="8" w:space="0" w:color="7BA0CD" w:themeColor="accent1" w:themeTint="BF"/>
              <w:right w:val="single" w:sz="8" w:space="0" w:color="7BA0CD" w:themeColor="accent1" w:themeTint="BF"/>
            </w:tcBorders>
          </w:tcPr>
          <w:p w14:paraId="740C5EA2" w14:textId="3AC4D0B0"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574 </w:t>
            </w:r>
          </w:p>
        </w:tc>
        <w:tc>
          <w:tcPr>
            <w:tcW w:w="900" w:type="dxa"/>
            <w:tcBorders>
              <w:left w:val="single" w:sz="8" w:space="0" w:color="7BA0CD" w:themeColor="accent1" w:themeTint="BF"/>
              <w:right w:val="single" w:sz="8" w:space="0" w:color="7BA0CD" w:themeColor="accent1" w:themeTint="BF"/>
            </w:tcBorders>
          </w:tcPr>
          <w:p w14:paraId="19975AC6" w14:textId="6C17730D"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91 </w:t>
            </w:r>
          </w:p>
        </w:tc>
        <w:tc>
          <w:tcPr>
            <w:tcW w:w="900" w:type="dxa"/>
            <w:tcBorders>
              <w:left w:val="single" w:sz="8" w:space="0" w:color="7BA0CD" w:themeColor="accent1" w:themeTint="BF"/>
              <w:right w:val="single" w:sz="8" w:space="0" w:color="7BA0CD" w:themeColor="accent1" w:themeTint="BF"/>
            </w:tcBorders>
          </w:tcPr>
          <w:p w14:paraId="5E822363" w14:textId="1F3734C0"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19%</w:t>
            </w:r>
          </w:p>
        </w:tc>
        <w:tc>
          <w:tcPr>
            <w:tcW w:w="1170" w:type="dxa"/>
            <w:tcBorders>
              <w:left w:val="single" w:sz="8" w:space="0" w:color="7BA0CD" w:themeColor="accent1" w:themeTint="BF"/>
            </w:tcBorders>
          </w:tcPr>
          <w:p w14:paraId="4194756A" w14:textId="30B2ED6D"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38</w:t>
            </w:r>
          </w:p>
        </w:tc>
      </w:tr>
      <w:tr w:rsidR="00064FED" w:rsidRPr="00D60B90" w14:paraId="4D35EE96"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07B1E82C" w14:textId="6E9D4B18" w:rsidR="00064FED" w:rsidRDefault="00064FED" w:rsidP="006A4240">
            <w:pPr>
              <w:pStyle w:val="Tablenormalleft"/>
              <w:jc w:val="left"/>
              <w:rPr>
                <w:color w:val="000000"/>
                <w:szCs w:val="18"/>
              </w:rPr>
            </w:pPr>
            <w:r w:rsidRPr="007B5395">
              <w:t>49-9052</w:t>
            </w:r>
          </w:p>
        </w:tc>
        <w:tc>
          <w:tcPr>
            <w:tcW w:w="4000" w:type="dxa"/>
            <w:tcBorders>
              <w:left w:val="single" w:sz="8" w:space="0" w:color="7BA0CD" w:themeColor="accent1" w:themeTint="BF"/>
              <w:right w:val="single" w:sz="8" w:space="0" w:color="7BA0CD" w:themeColor="accent1" w:themeTint="BF"/>
            </w:tcBorders>
          </w:tcPr>
          <w:p w14:paraId="4F24A2E5" w14:textId="54A675EA" w:rsidR="00064FED"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7B5395">
              <w:t>Telecommunications Line Installers and Repairers</w:t>
            </w:r>
          </w:p>
        </w:tc>
        <w:tc>
          <w:tcPr>
            <w:tcW w:w="810" w:type="dxa"/>
            <w:tcBorders>
              <w:left w:val="single" w:sz="8" w:space="0" w:color="7BA0CD" w:themeColor="accent1" w:themeTint="BF"/>
              <w:right w:val="single" w:sz="8" w:space="0" w:color="7BA0CD" w:themeColor="accent1" w:themeTint="BF"/>
            </w:tcBorders>
          </w:tcPr>
          <w:p w14:paraId="4B8A0CE6" w14:textId="418BF12A"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510 </w:t>
            </w:r>
          </w:p>
        </w:tc>
        <w:tc>
          <w:tcPr>
            <w:tcW w:w="810" w:type="dxa"/>
            <w:tcBorders>
              <w:left w:val="single" w:sz="8" w:space="0" w:color="7BA0CD" w:themeColor="accent1" w:themeTint="BF"/>
              <w:right w:val="single" w:sz="8" w:space="0" w:color="7BA0CD" w:themeColor="accent1" w:themeTint="BF"/>
            </w:tcBorders>
          </w:tcPr>
          <w:p w14:paraId="0A1DA801" w14:textId="5E2DE7D0"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583 </w:t>
            </w:r>
          </w:p>
        </w:tc>
        <w:tc>
          <w:tcPr>
            <w:tcW w:w="900" w:type="dxa"/>
            <w:tcBorders>
              <w:left w:val="single" w:sz="8" w:space="0" w:color="7BA0CD" w:themeColor="accent1" w:themeTint="BF"/>
              <w:right w:val="single" w:sz="8" w:space="0" w:color="7BA0CD" w:themeColor="accent1" w:themeTint="BF"/>
            </w:tcBorders>
          </w:tcPr>
          <w:p w14:paraId="2EC2D6AD" w14:textId="363E999C"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73 </w:t>
            </w:r>
          </w:p>
        </w:tc>
        <w:tc>
          <w:tcPr>
            <w:tcW w:w="900" w:type="dxa"/>
            <w:tcBorders>
              <w:left w:val="single" w:sz="8" w:space="0" w:color="7BA0CD" w:themeColor="accent1" w:themeTint="BF"/>
              <w:right w:val="single" w:sz="8" w:space="0" w:color="7BA0CD" w:themeColor="accent1" w:themeTint="BF"/>
            </w:tcBorders>
          </w:tcPr>
          <w:p w14:paraId="03B27A0D" w14:textId="4C73CC99"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14%</w:t>
            </w:r>
          </w:p>
        </w:tc>
        <w:tc>
          <w:tcPr>
            <w:tcW w:w="1170" w:type="dxa"/>
            <w:tcBorders>
              <w:left w:val="single" w:sz="8" w:space="0" w:color="7BA0CD" w:themeColor="accent1" w:themeTint="BF"/>
            </w:tcBorders>
          </w:tcPr>
          <w:p w14:paraId="7100F7F9" w14:textId="00A0473A"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29</w:t>
            </w:r>
          </w:p>
        </w:tc>
      </w:tr>
      <w:tr w:rsidR="00064FED" w:rsidRPr="00D60B90" w14:paraId="0B7A12E5"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7B9C5138" w14:textId="6AC276DE" w:rsidR="00064FED" w:rsidRDefault="00064FED" w:rsidP="006A4240">
            <w:pPr>
              <w:pStyle w:val="Tablenormalleft"/>
              <w:jc w:val="left"/>
              <w:rPr>
                <w:color w:val="000000"/>
                <w:szCs w:val="18"/>
              </w:rPr>
            </w:pPr>
            <w:r w:rsidRPr="007B5395">
              <w:t>49-9062</w:t>
            </w:r>
          </w:p>
        </w:tc>
        <w:tc>
          <w:tcPr>
            <w:tcW w:w="4000" w:type="dxa"/>
            <w:tcBorders>
              <w:left w:val="single" w:sz="8" w:space="0" w:color="7BA0CD" w:themeColor="accent1" w:themeTint="BF"/>
              <w:right w:val="single" w:sz="8" w:space="0" w:color="7BA0CD" w:themeColor="accent1" w:themeTint="BF"/>
            </w:tcBorders>
          </w:tcPr>
          <w:p w14:paraId="36E4D9CA" w14:textId="41A6C31B" w:rsidR="00064FED"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color w:val="000000"/>
                <w:szCs w:val="18"/>
              </w:rPr>
            </w:pPr>
            <w:r w:rsidRPr="007B5395">
              <w:t>Medical Equipment Repairers</w:t>
            </w:r>
          </w:p>
        </w:tc>
        <w:tc>
          <w:tcPr>
            <w:tcW w:w="810" w:type="dxa"/>
            <w:tcBorders>
              <w:left w:val="single" w:sz="8" w:space="0" w:color="7BA0CD" w:themeColor="accent1" w:themeTint="BF"/>
              <w:right w:val="single" w:sz="8" w:space="0" w:color="7BA0CD" w:themeColor="accent1" w:themeTint="BF"/>
            </w:tcBorders>
          </w:tcPr>
          <w:p w14:paraId="0483EB62" w14:textId="19A8986B"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122 </w:t>
            </w:r>
          </w:p>
        </w:tc>
        <w:tc>
          <w:tcPr>
            <w:tcW w:w="810" w:type="dxa"/>
            <w:tcBorders>
              <w:left w:val="single" w:sz="8" w:space="0" w:color="7BA0CD" w:themeColor="accent1" w:themeTint="BF"/>
              <w:right w:val="single" w:sz="8" w:space="0" w:color="7BA0CD" w:themeColor="accent1" w:themeTint="BF"/>
            </w:tcBorders>
          </w:tcPr>
          <w:p w14:paraId="53E9CFA3" w14:textId="40291390"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152 </w:t>
            </w:r>
          </w:p>
        </w:tc>
        <w:tc>
          <w:tcPr>
            <w:tcW w:w="900" w:type="dxa"/>
            <w:tcBorders>
              <w:left w:val="single" w:sz="8" w:space="0" w:color="7BA0CD" w:themeColor="accent1" w:themeTint="BF"/>
              <w:right w:val="single" w:sz="8" w:space="0" w:color="7BA0CD" w:themeColor="accent1" w:themeTint="BF"/>
            </w:tcBorders>
          </w:tcPr>
          <w:p w14:paraId="4BCF9387" w14:textId="71639F87"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30 </w:t>
            </w:r>
          </w:p>
        </w:tc>
        <w:tc>
          <w:tcPr>
            <w:tcW w:w="900" w:type="dxa"/>
            <w:tcBorders>
              <w:left w:val="single" w:sz="8" w:space="0" w:color="7BA0CD" w:themeColor="accent1" w:themeTint="BF"/>
              <w:right w:val="single" w:sz="8" w:space="0" w:color="7BA0CD" w:themeColor="accent1" w:themeTint="BF"/>
            </w:tcBorders>
          </w:tcPr>
          <w:p w14:paraId="755B90C9" w14:textId="1A8853ED"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25%</w:t>
            </w:r>
          </w:p>
        </w:tc>
        <w:tc>
          <w:tcPr>
            <w:tcW w:w="1170" w:type="dxa"/>
            <w:tcBorders>
              <w:left w:val="single" w:sz="8" w:space="0" w:color="7BA0CD" w:themeColor="accent1" w:themeTint="BF"/>
            </w:tcBorders>
          </w:tcPr>
          <w:p w14:paraId="54CE5AB1" w14:textId="0B9C9984"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10</w:t>
            </w:r>
          </w:p>
        </w:tc>
      </w:tr>
      <w:tr w:rsidR="00064FED" w:rsidRPr="00D60B90" w14:paraId="727F719F"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434666EA" w14:textId="2C374510" w:rsidR="00064FED" w:rsidRDefault="00064FED" w:rsidP="006A4240">
            <w:pPr>
              <w:pStyle w:val="Tablenormalleft"/>
              <w:jc w:val="left"/>
              <w:rPr>
                <w:color w:val="000000"/>
                <w:szCs w:val="18"/>
              </w:rPr>
            </w:pPr>
            <w:r w:rsidRPr="007B5395">
              <w:t>49-9071</w:t>
            </w:r>
          </w:p>
        </w:tc>
        <w:tc>
          <w:tcPr>
            <w:tcW w:w="4000" w:type="dxa"/>
            <w:tcBorders>
              <w:left w:val="single" w:sz="8" w:space="0" w:color="7BA0CD" w:themeColor="accent1" w:themeTint="BF"/>
              <w:right w:val="single" w:sz="8" w:space="0" w:color="7BA0CD" w:themeColor="accent1" w:themeTint="BF"/>
            </w:tcBorders>
          </w:tcPr>
          <w:p w14:paraId="7EE6F6E5" w14:textId="30F30447" w:rsidR="00064FED"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7B5395">
              <w:t>Maintenance and Repair Workers, General</w:t>
            </w:r>
          </w:p>
        </w:tc>
        <w:tc>
          <w:tcPr>
            <w:tcW w:w="810" w:type="dxa"/>
            <w:tcBorders>
              <w:left w:val="single" w:sz="8" w:space="0" w:color="7BA0CD" w:themeColor="accent1" w:themeTint="BF"/>
              <w:right w:val="single" w:sz="8" w:space="0" w:color="7BA0CD" w:themeColor="accent1" w:themeTint="BF"/>
            </w:tcBorders>
          </w:tcPr>
          <w:p w14:paraId="7D9AB1DD" w14:textId="3F579B11"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5,436 </w:t>
            </w:r>
          </w:p>
        </w:tc>
        <w:tc>
          <w:tcPr>
            <w:tcW w:w="810" w:type="dxa"/>
            <w:tcBorders>
              <w:left w:val="single" w:sz="8" w:space="0" w:color="7BA0CD" w:themeColor="accent1" w:themeTint="BF"/>
              <w:right w:val="single" w:sz="8" w:space="0" w:color="7BA0CD" w:themeColor="accent1" w:themeTint="BF"/>
            </w:tcBorders>
          </w:tcPr>
          <w:p w14:paraId="32A66319" w14:textId="43E7CFD2"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5,838 </w:t>
            </w:r>
          </w:p>
        </w:tc>
        <w:tc>
          <w:tcPr>
            <w:tcW w:w="900" w:type="dxa"/>
            <w:tcBorders>
              <w:left w:val="single" w:sz="8" w:space="0" w:color="7BA0CD" w:themeColor="accent1" w:themeTint="BF"/>
              <w:right w:val="single" w:sz="8" w:space="0" w:color="7BA0CD" w:themeColor="accent1" w:themeTint="BF"/>
            </w:tcBorders>
          </w:tcPr>
          <w:p w14:paraId="34347AA4" w14:textId="72156CB6"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402 </w:t>
            </w:r>
          </w:p>
        </w:tc>
        <w:tc>
          <w:tcPr>
            <w:tcW w:w="900" w:type="dxa"/>
            <w:tcBorders>
              <w:left w:val="single" w:sz="8" w:space="0" w:color="7BA0CD" w:themeColor="accent1" w:themeTint="BF"/>
              <w:right w:val="single" w:sz="8" w:space="0" w:color="7BA0CD" w:themeColor="accent1" w:themeTint="BF"/>
            </w:tcBorders>
          </w:tcPr>
          <w:p w14:paraId="5C51C722" w14:textId="6A7E579A"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7%</w:t>
            </w:r>
          </w:p>
        </w:tc>
        <w:tc>
          <w:tcPr>
            <w:tcW w:w="1170" w:type="dxa"/>
            <w:tcBorders>
              <w:left w:val="single" w:sz="8" w:space="0" w:color="7BA0CD" w:themeColor="accent1" w:themeTint="BF"/>
            </w:tcBorders>
          </w:tcPr>
          <w:p w14:paraId="48515039" w14:textId="1DEF3DDA"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191</w:t>
            </w:r>
          </w:p>
        </w:tc>
      </w:tr>
      <w:tr w:rsidR="00064FED" w:rsidRPr="00D60B90" w14:paraId="78959F1A"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3822EE83" w14:textId="5B197BC9" w:rsidR="00064FED" w:rsidRDefault="00064FED" w:rsidP="006A4240">
            <w:pPr>
              <w:pStyle w:val="Tablenormalleft"/>
              <w:jc w:val="left"/>
              <w:rPr>
                <w:color w:val="000000"/>
                <w:szCs w:val="18"/>
              </w:rPr>
            </w:pPr>
            <w:r w:rsidRPr="007B5395">
              <w:t>51-1011</w:t>
            </w:r>
          </w:p>
        </w:tc>
        <w:tc>
          <w:tcPr>
            <w:tcW w:w="4000" w:type="dxa"/>
            <w:tcBorders>
              <w:left w:val="single" w:sz="8" w:space="0" w:color="7BA0CD" w:themeColor="accent1" w:themeTint="BF"/>
              <w:right w:val="single" w:sz="8" w:space="0" w:color="7BA0CD" w:themeColor="accent1" w:themeTint="BF"/>
            </w:tcBorders>
          </w:tcPr>
          <w:p w14:paraId="2F24E36B" w14:textId="75A6FD63" w:rsidR="00064FED"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color w:val="000000"/>
                <w:szCs w:val="18"/>
              </w:rPr>
            </w:pPr>
            <w:r w:rsidRPr="007B5395">
              <w:t>First-Line Supervisors of Production and Operating Workers</w:t>
            </w:r>
          </w:p>
        </w:tc>
        <w:tc>
          <w:tcPr>
            <w:tcW w:w="810" w:type="dxa"/>
            <w:tcBorders>
              <w:left w:val="single" w:sz="8" w:space="0" w:color="7BA0CD" w:themeColor="accent1" w:themeTint="BF"/>
              <w:right w:val="single" w:sz="8" w:space="0" w:color="7BA0CD" w:themeColor="accent1" w:themeTint="BF"/>
            </w:tcBorders>
          </w:tcPr>
          <w:p w14:paraId="353552D1" w14:textId="7DC9152E"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2,175 </w:t>
            </w:r>
          </w:p>
        </w:tc>
        <w:tc>
          <w:tcPr>
            <w:tcW w:w="810" w:type="dxa"/>
            <w:tcBorders>
              <w:left w:val="single" w:sz="8" w:space="0" w:color="7BA0CD" w:themeColor="accent1" w:themeTint="BF"/>
              <w:right w:val="single" w:sz="8" w:space="0" w:color="7BA0CD" w:themeColor="accent1" w:themeTint="BF"/>
            </w:tcBorders>
          </w:tcPr>
          <w:p w14:paraId="59B6F8B0" w14:textId="47F78FEE"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2,265 </w:t>
            </w:r>
          </w:p>
        </w:tc>
        <w:tc>
          <w:tcPr>
            <w:tcW w:w="900" w:type="dxa"/>
            <w:tcBorders>
              <w:left w:val="single" w:sz="8" w:space="0" w:color="7BA0CD" w:themeColor="accent1" w:themeTint="BF"/>
              <w:right w:val="single" w:sz="8" w:space="0" w:color="7BA0CD" w:themeColor="accent1" w:themeTint="BF"/>
            </w:tcBorders>
          </w:tcPr>
          <w:p w14:paraId="5B6F4CD4" w14:textId="2587BF0D"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90 </w:t>
            </w:r>
          </w:p>
        </w:tc>
        <w:tc>
          <w:tcPr>
            <w:tcW w:w="900" w:type="dxa"/>
            <w:tcBorders>
              <w:left w:val="single" w:sz="8" w:space="0" w:color="7BA0CD" w:themeColor="accent1" w:themeTint="BF"/>
              <w:right w:val="single" w:sz="8" w:space="0" w:color="7BA0CD" w:themeColor="accent1" w:themeTint="BF"/>
            </w:tcBorders>
          </w:tcPr>
          <w:p w14:paraId="57E35980" w14:textId="523A3ACB"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4%</w:t>
            </w:r>
          </w:p>
        </w:tc>
        <w:tc>
          <w:tcPr>
            <w:tcW w:w="1170" w:type="dxa"/>
            <w:tcBorders>
              <w:left w:val="single" w:sz="8" w:space="0" w:color="7BA0CD" w:themeColor="accent1" w:themeTint="BF"/>
            </w:tcBorders>
          </w:tcPr>
          <w:p w14:paraId="47ED6056" w14:textId="3B774693"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52</w:t>
            </w:r>
          </w:p>
        </w:tc>
      </w:tr>
      <w:tr w:rsidR="00064FED" w:rsidRPr="00D60B90" w14:paraId="0AFF9C36"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34DA4354" w14:textId="1D0314A1" w:rsidR="00064FED" w:rsidRDefault="00064FED" w:rsidP="006A4240">
            <w:pPr>
              <w:pStyle w:val="Tablenormalleft"/>
              <w:jc w:val="left"/>
              <w:rPr>
                <w:color w:val="000000"/>
                <w:szCs w:val="18"/>
              </w:rPr>
            </w:pPr>
            <w:r w:rsidRPr="007B5395">
              <w:t>51-9111</w:t>
            </w:r>
          </w:p>
        </w:tc>
        <w:tc>
          <w:tcPr>
            <w:tcW w:w="4000" w:type="dxa"/>
            <w:tcBorders>
              <w:left w:val="single" w:sz="8" w:space="0" w:color="7BA0CD" w:themeColor="accent1" w:themeTint="BF"/>
              <w:right w:val="single" w:sz="8" w:space="0" w:color="7BA0CD" w:themeColor="accent1" w:themeTint="BF"/>
            </w:tcBorders>
          </w:tcPr>
          <w:p w14:paraId="3455BDB1" w14:textId="6AF30F4B" w:rsidR="00064FED"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7B5395">
              <w:t>Packaging and Filling Machine Operators and Tenders</w:t>
            </w:r>
          </w:p>
        </w:tc>
        <w:tc>
          <w:tcPr>
            <w:tcW w:w="810" w:type="dxa"/>
            <w:tcBorders>
              <w:left w:val="single" w:sz="8" w:space="0" w:color="7BA0CD" w:themeColor="accent1" w:themeTint="BF"/>
              <w:right w:val="single" w:sz="8" w:space="0" w:color="7BA0CD" w:themeColor="accent1" w:themeTint="BF"/>
            </w:tcBorders>
          </w:tcPr>
          <w:p w14:paraId="585AF06A" w14:textId="24F2DF69"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2,146 </w:t>
            </w:r>
          </w:p>
        </w:tc>
        <w:tc>
          <w:tcPr>
            <w:tcW w:w="810" w:type="dxa"/>
            <w:tcBorders>
              <w:left w:val="single" w:sz="8" w:space="0" w:color="7BA0CD" w:themeColor="accent1" w:themeTint="BF"/>
              <w:right w:val="single" w:sz="8" w:space="0" w:color="7BA0CD" w:themeColor="accent1" w:themeTint="BF"/>
            </w:tcBorders>
          </w:tcPr>
          <w:p w14:paraId="33C5E66E" w14:textId="6115DA9C"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2,386 </w:t>
            </w:r>
          </w:p>
        </w:tc>
        <w:tc>
          <w:tcPr>
            <w:tcW w:w="900" w:type="dxa"/>
            <w:tcBorders>
              <w:left w:val="single" w:sz="8" w:space="0" w:color="7BA0CD" w:themeColor="accent1" w:themeTint="BF"/>
              <w:right w:val="single" w:sz="8" w:space="0" w:color="7BA0CD" w:themeColor="accent1" w:themeTint="BF"/>
            </w:tcBorders>
          </w:tcPr>
          <w:p w14:paraId="4A25CE38" w14:textId="5DFC2159"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240 </w:t>
            </w:r>
          </w:p>
        </w:tc>
        <w:tc>
          <w:tcPr>
            <w:tcW w:w="900" w:type="dxa"/>
            <w:tcBorders>
              <w:left w:val="single" w:sz="8" w:space="0" w:color="7BA0CD" w:themeColor="accent1" w:themeTint="BF"/>
              <w:right w:val="single" w:sz="8" w:space="0" w:color="7BA0CD" w:themeColor="accent1" w:themeTint="BF"/>
            </w:tcBorders>
          </w:tcPr>
          <w:p w14:paraId="27652664" w14:textId="69F1EA23"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11%</w:t>
            </w:r>
          </w:p>
        </w:tc>
        <w:tc>
          <w:tcPr>
            <w:tcW w:w="1170" w:type="dxa"/>
            <w:tcBorders>
              <w:left w:val="single" w:sz="8" w:space="0" w:color="7BA0CD" w:themeColor="accent1" w:themeTint="BF"/>
            </w:tcBorders>
          </w:tcPr>
          <w:p w14:paraId="6E7EA151" w14:textId="04F96613"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102</w:t>
            </w:r>
          </w:p>
        </w:tc>
      </w:tr>
      <w:tr w:rsidR="00064FED" w:rsidRPr="00D60B90" w14:paraId="693447D7" w14:textId="77777777" w:rsidTr="00890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41E6AB9B" w14:textId="5DE2585B" w:rsidR="00064FED" w:rsidRDefault="00064FED" w:rsidP="006A4240">
            <w:pPr>
              <w:pStyle w:val="Tablenormalleft"/>
              <w:jc w:val="left"/>
              <w:rPr>
                <w:color w:val="000000"/>
                <w:szCs w:val="18"/>
              </w:rPr>
            </w:pPr>
            <w:r w:rsidRPr="007B5395">
              <w:t>53-3032</w:t>
            </w:r>
          </w:p>
        </w:tc>
        <w:tc>
          <w:tcPr>
            <w:tcW w:w="4000" w:type="dxa"/>
            <w:tcBorders>
              <w:left w:val="single" w:sz="8" w:space="0" w:color="7BA0CD" w:themeColor="accent1" w:themeTint="BF"/>
              <w:right w:val="single" w:sz="8" w:space="0" w:color="7BA0CD" w:themeColor="accent1" w:themeTint="BF"/>
            </w:tcBorders>
          </w:tcPr>
          <w:p w14:paraId="49523B3D" w14:textId="5B55B3B1" w:rsidR="00064FED" w:rsidRDefault="00064FED" w:rsidP="006A4240">
            <w:pPr>
              <w:pStyle w:val="Tablenormalleft"/>
              <w:jc w:val="left"/>
              <w:cnfStyle w:val="000000010000" w:firstRow="0" w:lastRow="0" w:firstColumn="0" w:lastColumn="0" w:oddVBand="0" w:evenVBand="0" w:oddHBand="0" w:evenHBand="1" w:firstRowFirstColumn="0" w:firstRowLastColumn="0" w:lastRowFirstColumn="0" w:lastRowLastColumn="0"/>
              <w:rPr>
                <w:color w:val="000000"/>
                <w:szCs w:val="18"/>
              </w:rPr>
            </w:pPr>
            <w:r w:rsidRPr="007B5395">
              <w:t>Heavy and Tractor-Trailer Truck Drivers</w:t>
            </w:r>
          </w:p>
        </w:tc>
        <w:tc>
          <w:tcPr>
            <w:tcW w:w="810" w:type="dxa"/>
            <w:tcBorders>
              <w:left w:val="single" w:sz="8" w:space="0" w:color="7BA0CD" w:themeColor="accent1" w:themeTint="BF"/>
              <w:right w:val="single" w:sz="8" w:space="0" w:color="7BA0CD" w:themeColor="accent1" w:themeTint="BF"/>
            </w:tcBorders>
          </w:tcPr>
          <w:p w14:paraId="72B77C82" w14:textId="5B2189F4"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10,766 </w:t>
            </w:r>
          </w:p>
        </w:tc>
        <w:tc>
          <w:tcPr>
            <w:tcW w:w="810" w:type="dxa"/>
            <w:tcBorders>
              <w:left w:val="single" w:sz="8" w:space="0" w:color="7BA0CD" w:themeColor="accent1" w:themeTint="BF"/>
              <w:right w:val="single" w:sz="8" w:space="0" w:color="7BA0CD" w:themeColor="accent1" w:themeTint="BF"/>
            </w:tcBorders>
          </w:tcPr>
          <w:p w14:paraId="04306FE8" w14:textId="59901B9D"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 11,549 </w:t>
            </w:r>
          </w:p>
        </w:tc>
        <w:tc>
          <w:tcPr>
            <w:tcW w:w="900" w:type="dxa"/>
            <w:tcBorders>
              <w:left w:val="single" w:sz="8" w:space="0" w:color="7BA0CD" w:themeColor="accent1" w:themeTint="BF"/>
              <w:right w:val="single" w:sz="8" w:space="0" w:color="7BA0CD" w:themeColor="accent1" w:themeTint="BF"/>
            </w:tcBorders>
          </w:tcPr>
          <w:p w14:paraId="5141C151" w14:textId="3BA1F48D"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 xml:space="preserve">783 </w:t>
            </w:r>
          </w:p>
        </w:tc>
        <w:tc>
          <w:tcPr>
            <w:tcW w:w="900" w:type="dxa"/>
            <w:tcBorders>
              <w:left w:val="single" w:sz="8" w:space="0" w:color="7BA0CD" w:themeColor="accent1" w:themeTint="BF"/>
              <w:right w:val="single" w:sz="8" w:space="0" w:color="7BA0CD" w:themeColor="accent1" w:themeTint="BF"/>
            </w:tcBorders>
          </w:tcPr>
          <w:p w14:paraId="62A21671" w14:textId="71EA4F7D"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szCs w:val="18"/>
              </w:rPr>
            </w:pPr>
            <w:r w:rsidRPr="007B5395">
              <w:t>7%</w:t>
            </w:r>
          </w:p>
        </w:tc>
        <w:tc>
          <w:tcPr>
            <w:tcW w:w="1170" w:type="dxa"/>
            <w:tcBorders>
              <w:left w:val="single" w:sz="8" w:space="0" w:color="7BA0CD" w:themeColor="accent1" w:themeTint="BF"/>
            </w:tcBorders>
          </w:tcPr>
          <w:p w14:paraId="7F43DAF8" w14:textId="08E67827" w:rsidR="00064FED" w:rsidRDefault="00064FED" w:rsidP="00242A91">
            <w:pPr>
              <w:pStyle w:val="Tablenormalright"/>
              <w:cnfStyle w:val="000000010000" w:firstRow="0" w:lastRow="0" w:firstColumn="0" w:lastColumn="0" w:oddVBand="0" w:evenVBand="0" w:oddHBand="0" w:evenHBand="1" w:firstRowFirstColumn="0" w:firstRowLastColumn="0" w:lastRowFirstColumn="0" w:lastRowLastColumn="0"/>
              <w:rPr>
                <w:rFonts w:cs="Arial"/>
                <w:color w:val="000000"/>
                <w:szCs w:val="18"/>
              </w:rPr>
            </w:pPr>
            <w:r w:rsidRPr="007B5395">
              <w:t>353</w:t>
            </w:r>
          </w:p>
        </w:tc>
      </w:tr>
      <w:tr w:rsidR="00064FED" w:rsidRPr="00D60B90" w14:paraId="03E1EBAD" w14:textId="77777777" w:rsidTr="0089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Borders>
              <w:right w:val="single" w:sz="8" w:space="0" w:color="7BA0CD" w:themeColor="accent1" w:themeTint="BF"/>
            </w:tcBorders>
          </w:tcPr>
          <w:p w14:paraId="1533E16B" w14:textId="5C162DDD" w:rsidR="00064FED" w:rsidRDefault="00064FED" w:rsidP="006A4240">
            <w:pPr>
              <w:pStyle w:val="Tablenormalleft"/>
              <w:jc w:val="left"/>
              <w:rPr>
                <w:color w:val="000000"/>
                <w:szCs w:val="18"/>
              </w:rPr>
            </w:pPr>
            <w:r w:rsidRPr="007B5395">
              <w:t>53-7051</w:t>
            </w:r>
          </w:p>
        </w:tc>
        <w:tc>
          <w:tcPr>
            <w:tcW w:w="4000" w:type="dxa"/>
            <w:tcBorders>
              <w:left w:val="single" w:sz="8" w:space="0" w:color="7BA0CD" w:themeColor="accent1" w:themeTint="BF"/>
              <w:right w:val="single" w:sz="8" w:space="0" w:color="7BA0CD" w:themeColor="accent1" w:themeTint="BF"/>
            </w:tcBorders>
          </w:tcPr>
          <w:p w14:paraId="025B7801" w14:textId="0F22942F" w:rsidR="00064FED" w:rsidRDefault="00064FED" w:rsidP="006A4240">
            <w:pPr>
              <w:pStyle w:val="Tablenormalleft"/>
              <w:jc w:val="left"/>
              <w:cnfStyle w:val="000000100000" w:firstRow="0" w:lastRow="0" w:firstColumn="0" w:lastColumn="0" w:oddVBand="0" w:evenVBand="0" w:oddHBand="1" w:evenHBand="0" w:firstRowFirstColumn="0" w:firstRowLastColumn="0" w:lastRowFirstColumn="0" w:lastRowLastColumn="0"/>
              <w:rPr>
                <w:color w:val="000000"/>
                <w:szCs w:val="18"/>
              </w:rPr>
            </w:pPr>
            <w:r w:rsidRPr="007B5395">
              <w:t>Industrial Truck and Tractor Operators</w:t>
            </w:r>
          </w:p>
        </w:tc>
        <w:tc>
          <w:tcPr>
            <w:tcW w:w="810" w:type="dxa"/>
            <w:tcBorders>
              <w:left w:val="single" w:sz="8" w:space="0" w:color="7BA0CD" w:themeColor="accent1" w:themeTint="BF"/>
              <w:right w:val="single" w:sz="8" w:space="0" w:color="7BA0CD" w:themeColor="accent1" w:themeTint="BF"/>
            </w:tcBorders>
          </w:tcPr>
          <w:p w14:paraId="0A175F56" w14:textId="387B63E6"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3,896 </w:t>
            </w:r>
          </w:p>
        </w:tc>
        <w:tc>
          <w:tcPr>
            <w:tcW w:w="810" w:type="dxa"/>
            <w:tcBorders>
              <w:left w:val="single" w:sz="8" w:space="0" w:color="7BA0CD" w:themeColor="accent1" w:themeTint="BF"/>
              <w:right w:val="single" w:sz="8" w:space="0" w:color="7BA0CD" w:themeColor="accent1" w:themeTint="BF"/>
            </w:tcBorders>
          </w:tcPr>
          <w:p w14:paraId="3DB116B9" w14:textId="4EEB40A1"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 3,949 </w:t>
            </w:r>
          </w:p>
        </w:tc>
        <w:tc>
          <w:tcPr>
            <w:tcW w:w="900" w:type="dxa"/>
            <w:tcBorders>
              <w:left w:val="single" w:sz="8" w:space="0" w:color="7BA0CD" w:themeColor="accent1" w:themeTint="BF"/>
              <w:right w:val="single" w:sz="8" w:space="0" w:color="7BA0CD" w:themeColor="accent1" w:themeTint="BF"/>
            </w:tcBorders>
          </w:tcPr>
          <w:p w14:paraId="4DC195AF" w14:textId="5CAD16C0"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 xml:space="preserve">53 </w:t>
            </w:r>
          </w:p>
        </w:tc>
        <w:tc>
          <w:tcPr>
            <w:tcW w:w="900" w:type="dxa"/>
            <w:tcBorders>
              <w:left w:val="single" w:sz="8" w:space="0" w:color="7BA0CD" w:themeColor="accent1" w:themeTint="BF"/>
              <w:right w:val="single" w:sz="8" w:space="0" w:color="7BA0CD" w:themeColor="accent1" w:themeTint="BF"/>
            </w:tcBorders>
          </w:tcPr>
          <w:p w14:paraId="16982701" w14:textId="2130D6CD"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szCs w:val="18"/>
              </w:rPr>
            </w:pPr>
            <w:r w:rsidRPr="007B5395">
              <w:t>1%</w:t>
            </w:r>
          </w:p>
        </w:tc>
        <w:tc>
          <w:tcPr>
            <w:tcW w:w="1170" w:type="dxa"/>
            <w:tcBorders>
              <w:left w:val="single" w:sz="8" w:space="0" w:color="7BA0CD" w:themeColor="accent1" w:themeTint="BF"/>
            </w:tcBorders>
          </w:tcPr>
          <w:p w14:paraId="661D0F54" w14:textId="35F24123" w:rsidR="00064FED" w:rsidRDefault="00064FED" w:rsidP="00242A91">
            <w:pPr>
              <w:pStyle w:val="Tablenorm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7B5395">
              <w:t>106</w:t>
            </w:r>
          </w:p>
        </w:tc>
      </w:tr>
    </w:tbl>
    <w:p w14:paraId="568BC25A" w14:textId="77777777" w:rsidR="00641562" w:rsidRPr="00A638AA" w:rsidRDefault="00641562" w:rsidP="00641562">
      <w:pPr>
        <w:rPr>
          <w:highlight w:val="yellow"/>
        </w:rPr>
      </w:pPr>
    </w:p>
    <w:sectPr w:rsidR="00641562" w:rsidRPr="00A638AA" w:rsidSect="00C633D6">
      <w:headerReference w:type="default" r:id="rId26"/>
      <w:footerReference w:type="default" r:id="rId27"/>
      <w:headerReference w:type="first" r:id="rId2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7366" w14:textId="77777777" w:rsidR="007636E7" w:rsidRDefault="007636E7" w:rsidP="0072192A">
      <w:pPr>
        <w:spacing w:before="0" w:after="0" w:line="240" w:lineRule="auto"/>
      </w:pPr>
      <w:r>
        <w:separator/>
      </w:r>
    </w:p>
  </w:endnote>
  <w:endnote w:type="continuationSeparator" w:id="0">
    <w:p w14:paraId="4291B83B" w14:textId="77777777" w:rsidR="007636E7" w:rsidRDefault="007636E7" w:rsidP="007219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570652"/>
      <w:docPartObj>
        <w:docPartGallery w:val="Page Numbers (Bottom of Page)"/>
        <w:docPartUnique/>
      </w:docPartObj>
    </w:sdtPr>
    <w:sdtEndPr>
      <w:rPr>
        <w:rFonts w:asciiTheme="minorHAnsi" w:hAnsiTheme="minorHAnsi"/>
        <w:noProof/>
        <w:szCs w:val="20"/>
      </w:rPr>
    </w:sdtEndPr>
    <w:sdtContent>
      <w:p w14:paraId="1728E05A" w14:textId="77777777" w:rsidR="002C5EAD" w:rsidRPr="003A7B12" w:rsidRDefault="002C5EAD">
        <w:pPr>
          <w:pStyle w:val="Footer"/>
          <w:jc w:val="right"/>
          <w:rPr>
            <w:rFonts w:asciiTheme="minorHAnsi" w:hAnsiTheme="minorHAnsi"/>
            <w:szCs w:val="20"/>
          </w:rPr>
        </w:pPr>
        <w:r w:rsidRPr="003A7B12">
          <w:rPr>
            <w:rFonts w:asciiTheme="minorHAnsi" w:hAnsiTheme="minorHAnsi"/>
            <w:szCs w:val="20"/>
          </w:rPr>
          <w:fldChar w:fldCharType="begin"/>
        </w:r>
        <w:r w:rsidRPr="003A7B12">
          <w:rPr>
            <w:rFonts w:asciiTheme="minorHAnsi" w:hAnsiTheme="minorHAnsi"/>
            <w:szCs w:val="20"/>
          </w:rPr>
          <w:instrText xml:space="preserve"> PAGE   \* MERGEFORMAT </w:instrText>
        </w:r>
        <w:r w:rsidRPr="003A7B12">
          <w:rPr>
            <w:rFonts w:asciiTheme="minorHAnsi" w:hAnsiTheme="minorHAnsi"/>
            <w:szCs w:val="20"/>
          </w:rPr>
          <w:fldChar w:fldCharType="separate"/>
        </w:r>
        <w:r w:rsidR="007C7E49">
          <w:rPr>
            <w:rFonts w:asciiTheme="minorHAnsi" w:hAnsiTheme="minorHAnsi"/>
            <w:noProof/>
            <w:szCs w:val="20"/>
          </w:rPr>
          <w:t>4</w:t>
        </w:r>
        <w:r w:rsidRPr="003A7B12">
          <w:rPr>
            <w:rFonts w:asciiTheme="minorHAnsi" w:hAnsiTheme="minorHAnsi"/>
            <w:noProof/>
            <w:szCs w:val="20"/>
          </w:rPr>
          <w:fldChar w:fldCharType="end"/>
        </w:r>
      </w:p>
    </w:sdtContent>
  </w:sdt>
  <w:p w14:paraId="1633A980" w14:textId="77777777" w:rsidR="002C5EAD" w:rsidRDefault="002C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EFCB" w14:textId="77777777" w:rsidR="007636E7" w:rsidRDefault="007636E7" w:rsidP="0072192A">
      <w:pPr>
        <w:spacing w:before="0" w:after="0" w:line="240" w:lineRule="auto"/>
      </w:pPr>
      <w:r>
        <w:separator/>
      </w:r>
    </w:p>
  </w:footnote>
  <w:footnote w:type="continuationSeparator" w:id="0">
    <w:p w14:paraId="43C57930" w14:textId="77777777" w:rsidR="007636E7" w:rsidRDefault="007636E7" w:rsidP="0072192A">
      <w:pPr>
        <w:spacing w:before="0" w:after="0" w:line="240" w:lineRule="auto"/>
      </w:pPr>
      <w:r>
        <w:continuationSeparator/>
      </w:r>
    </w:p>
  </w:footnote>
  <w:footnote w:id="1">
    <w:p w14:paraId="491CB2D7" w14:textId="77777777" w:rsidR="002C5EAD" w:rsidRDefault="002C5EAD" w:rsidP="00CC2158">
      <w:pPr>
        <w:pStyle w:val="FootnoteText"/>
      </w:pPr>
      <w:r>
        <w:rPr>
          <w:rStyle w:val="FootnoteReference"/>
        </w:rPr>
        <w:footnoteRef/>
      </w:r>
      <w:r>
        <w:t xml:space="preserve"> </w:t>
      </w:r>
      <w:r w:rsidRPr="00E95674">
        <w:t>The industry and occupation data presented in this report reflect the number of jobs by place of work, not by place of residence. However, the report does assess the commuting patterns of residents to determine where they live and work both within and outside of the region.</w:t>
      </w:r>
    </w:p>
  </w:footnote>
  <w:footnote w:id="2">
    <w:p w14:paraId="69451CEC" w14:textId="325EF166" w:rsidR="002C5EAD" w:rsidRDefault="002C5EAD">
      <w:pPr>
        <w:pStyle w:val="FootnoteText"/>
      </w:pPr>
      <w:r>
        <w:rPr>
          <w:rStyle w:val="FootnoteReference"/>
        </w:rPr>
        <w:footnoteRef/>
      </w:r>
      <w:r>
        <w:t xml:space="preserve"> </w:t>
      </w:r>
      <w:r w:rsidRPr="00B659FD">
        <w:t>Note that because LQs represent regional employment relative to national employment, a decreasing LQ does not necessarily mean decreasing employment, and likewise an increasing LQ does not necessarily mean increasing employment.</w:t>
      </w:r>
    </w:p>
  </w:footnote>
  <w:footnote w:id="3">
    <w:p w14:paraId="1E959771" w14:textId="5494DDB0" w:rsidR="002C5EAD" w:rsidRDefault="002C5EAD" w:rsidP="00231E13">
      <w:pPr>
        <w:pStyle w:val="FootnoteText"/>
      </w:pPr>
      <w:r>
        <w:rPr>
          <w:rStyle w:val="FootnoteReference"/>
        </w:rPr>
        <w:footnoteRef/>
      </w:r>
      <w:r>
        <w:t xml:space="preserve"> </w:t>
      </w:r>
      <w:r w:rsidRPr="00D16013">
        <w:t xml:space="preserve">LEHD is an innovative program </w:t>
      </w:r>
      <w:r>
        <w:t>that uses mod</w:t>
      </w:r>
      <w:r w:rsidRPr="00D16013">
        <w:t>ern statistical and computing techniques to combine federal and state administrative data on employers and employees with core Census Bureau censuses and surveys while protecting the confidentiality of people and firms that provide the data.</w:t>
      </w:r>
    </w:p>
  </w:footnote>
  <w:footnote w:id="4">
    <w:p w14:paraId="0410F7C4" w14:textId="2992C0AB" w:rsidR="002C5EAD" w:rsidRPr="00475E2D" w:rsidRDefault="002C5EAD" w:rsidP="00AD5379">
      <w:pPr>
        <w:pStyle w:val="FootnoteText"/>
        <w:rPr>
          <w:rFonts w:asciiTheme="minorHAnsi" w:hAnsiTheme="minorHAnsi" w:cstheme="minorHAnsi"/>
          <w:sz w:val="18"/>
          <w:szCs w:val="18"/>
        </w:rPr>
      </w:pPr>
      <w:r w:rsidRPr="00272371">
        <w:rPr>
          <w:rStyle w:val="FootnoteReference"/>
          <w:rFonts w:asciiTheme="minorHAnsi" w:hAnsiTheme="minorHAnsi" w:cstheme="minorHAnsi"/>
        </w:rPr>
        <w:footnoteRef/>
      </w:r>
      <w:r w:rsidRPr="00272371">
        <w:rPr>
          <w:rFonts w:asciiTheme="minorHAnsi" w:hAnsiTheme="minorHAnsi" w:cstheme="minorHAnsi"/>
        </w:rPr>
        <w:t xml:space="preserve"> </w:t>
      </w:r>
      <w:r w:rsidRPr="00433E4D">
        <w:t>The “some college” category includes individuals who attended college but did not successfully obtain a degree and individuals who have received a postsecondary vocational award or professional certification but did not receive an associate’s or bachelor’s degree</w:t>
      </w:r>
      <w:r w:rsidRPr="00272371">
        <w:rPr>
          <w:rFonts w:asciiTheme="minorHAnsi" w:hAnsiTheme="minorHAnsi" w:cstheme="minorHAnsi"/>
        </w:rPr>
        <w:t>.</w:t>
      </w:r>
    </w:p>
  </w:footnote>
  <w:footnote w:id="5">
    <w:p w14:paraId="7BB3B11D" w14:textId="630C9236" w:rsidR="002C5EAD" w:rsidRDefault="002C5EAD" w:rsidP="00224ECE">
      <w:pPr>
        <w:pStyle w:val="FootnoteText"/>
      </w:pPr>
      <w:r>
        <w:rPr>
          <w:rStyle w:val="FootnoteReference"/>
        </w:rPr>
        <w:footnoteRef/>
      </w:r>
      <w:r>
        <w:t xml:space="preserve"> The</w:t>
      </w:r>
      <w:r w:rsidRPr="00AD5379">
        <w:t xml:space="preserve"> </w:t>
      </w:r>
      <w:r>
        <w:t>c</w:t>
      </w:r>
      <w:r w:rsidRPr="00AD5379">
        <w:t xml:space="preserve">olumn </w:t>
      </w:r>
      <w:r>
        <w:t xml:space="preserve">labeled “% Change” in Table 1.8 </w:t>
      </w:r>
      <w:r w:rsidRPr="00AD5379">
        <w:t>re</w:t>
      </w:r>
      <w:r>
        <w:t>fers to the proportional change</w:t>
      </w:r>
      <w:r w:rsidRPr="00AD5379">
        <w:t xml:space="preserve">, </w:t>
      </w:r>
      <w:r>
        <w:t>not to the</w:t>
      </w:r>
      <w:r w:rsidRPr="00AD5379">
        <w:t xml:space="preserve"> percent change be</w:t>
      </w:r>
      <w:r>
        <w:t>tween 2009 and 2014. For example, if a category comprised 20% of the total adult population in 2009 and 25% of the total adult population in 2014, the proportional change is equal to the difference between the two values (in this example, 5%).</w:t>
      </w:r>
    </w:p>
  </w:footnote>
  <w:footnote w:id="6">
    <w:p w14:paraId="396EFD28" w14:textId="297313C8" w:rsidR="002C5EAD" w:rsidRDefault="002C5EAD">
      <w:pPr>
        <w:pStyle w:val="FootnoteText"/>
      </w:pPr>
      <w:r>
        <w:rPr>
          <w:rStyle w:val="FootnoteReference"/>
        </w:rPr>
        <w:footnoteRef/>
      </w:r>
      <w:r>
        <w:t xml:space="preserve"> TOP codes are not as detailed as CIP codes (which this type of analysis typically uses), and the translation from CIP to TOP codes was on the back-end of the analysis. Therefore, there are some duplicate TOP codes and titles in each of the tables. The CIP codes were included next to the TOP titles in order to differentiate the programs. For the complete list of CIP codes and TOP codes, refer to Appendix 2 Table A2.2.</w:t>
      </w:r>
    </w:p>
  </w:footnote>
  <w:footnote w:id="7">
    <w:p w14:paraId="0C1DBFC6" w14:textId="31E0EDE9" w:rsidR="002C5EAD" w:rsidRDefault="002C5EAD">
      <w:pPr>
        <w:pStyle w:val="FootnoteText"/>
      </w:pPr>
      <w:r>
        <w:rPr>
          <w:rStyle w:val="FootnoteReference"/>
        </w:rPr>
        <w:footnoteRef/>
      </w:r>
      <w:r>
        <w:t xml:space="preserve"> Data for RC has been reviewed for accuracy by RC and updated to reflect 2012-2014 completions.</w:t>
      </w:r>
    </w:p>
  </w:footnote>
  <w:footnote w:id="8">
    <w:p w14:paraId="55F2EFD7" w14:textId="77777777" w:rsidR="002C5EAD" w:rsidRPr="00AD3A4B" w:rsidRDefault="002C5EAD" w:rsidP="00641562">
      <w:pPr>
        <w:pStyle w:val="FootnoteText"/>
      </w:pPr>
      <w:r w:rsidRPr="00C633D6">
        <w:rPr>
          <w:rStyle w:val="FootnoteReference"/>
          <w:rFonts w:asciiTheme="minorHAnsi" w:hAnsiTheme="minorHAnsi"/>
        </w:rPr>
        <w:footnoteRef/>
      </w:r>
      <w:r w:rsidRPr="00C633D6">
        <w:rPr>
          <w:rFonts w:asciiTheme="minorHAnsi" w:hAnsiTheme="minorHAnsi"/>
        </w:rPr>
        <w:t xml:space="preserve"> </w:t>
      </w:r>
      <w:r w:rsidRPr="00AD3A4B">
        <w:rPr>
          <w:rFonts w:cstheme="minorHAnsi"/>
        </w:rPr>
        <w:t>See Appendix 1 for a description of the sources and processes of EMSI data.</w:t>
      </w:r>
    </w:p>
  </w:footnote>
  <w:footnote w:id="9">
    <w:p w14:paraId="63E7DED6" w14:textId="77777777" w:rsidR="002C5EAD" w:rsidRPr="00AD3A4B" w:rsidRDefault="002C5EAD" w:rsidP="00641562">
      <w:pPr>
        <w:pStyle w:val="FootnoteText"/>
        <w:rPr>
          <w:rFonts w:cstheme="minorHAnsi"/>
        </w:rPr>
      </w:pPr>
      <w:r w:rsidRPr="00AD3A4B">
        <w:rPr>
          <w:rStyle w:val="FootnoteReference"/>
        </w:rPr>
        <w:footnoteRef/>
      </w:r>
      <w:r w:rsidRPr="00AD3A4B">
        <w:t xml:space="preserve"> </w:t>
      </w:r>
      <w:r w:rsidRPr="00AD3A4B">
        <w:rPr>
          <w:rFonts w:cstheme="minorHAnsi"/>
        </w:rPr>
        <w:t xml:space="preserve">Given the changing dynamics and need for more education in the existing workforce (i.e., skills-biased technology change in many occupations and industry sectors), this assumption is considered conservative. </w:t>
      </w:r>
    </w:p>
  </w:footnote>
  <w:footnote w:id="10">
    <w:p w14:paraId="515CA42A" w14:textId="77777777" w:rsidR="002C5EAD" w:rsidRPr="006007DA" w:rsidRDefault="002C5EAD" w:rsidP="00641562">
      <w:pPr>
        <w:pStyle w:val="FootnoteText"/>
      </w:pPr>
      <w:r w:rsidRPr="00C633D6">
        <w:rPr>
          <w:rStyle w:val="FootnoteReference"/>
          <w:rFonts w:asciiTheme="minorHAnsi" w:hAnsiTheme="minorHAnsi"/>
        </w:rPr>
        <w:footnoteRef/>
      </w:r>
      <w:r>
        <w:t xml:space="preserve"> </w:t>
      </w:r>
      <w:r w:rsidRPr="00AD170C">
        <w:t>Note this adjustment is performed on a program-by-program basis without consideration of individual colleges or training providers. Therefore, a single program offered at one large institution has no advantage over a group of similar programs offered a number of smaller educational providers provided that the aggregate output of the smaller schools is near the output of the single larger school.</w:t>
      </w:r>
    </w:p>
  </w:footnote>
  <w:footnote w:id="11">
    <w:p w14:paraId="6A12B2BA" w14:textId="02C7A5A1" w:rsidR="002C5EAD" w:rsidRPr="00506390" w:rsidRDefault="002C5EAD" w:rsidP="00641562">
      <w:pPr>
        <w:pStyle w:val="FootnoteText"/>
        <w:rPr>
          <w:sz w:val="18"/>
          <w:szCs w:val="18"/>
        </w:rPr>
      </w:pPr>
      <w:r w:rsidRPr="006E5E6F">
        <w:rPr>
          <w:rStyle w:val="FootnoteReference"/>
          <w:rFonts w:asciiTheme="minorHAnsi" w:hAnsiTheme="minorHAnsi"/>
        </w:rPr>
        <w:footnoteRef/>
      </w:r>
      <w:r w:rsidRPr="006E5E6F">
        <w:rPr>
          <w:rFonts w:asciiTheme="minorHAnsi" w:hAnsiTheme="minorHAnsi"/>
        </w:rPr>
        <w:t xml:space="preserve"> </w:t>
      </w:r>
      <w:r w:rsidRPr="00506390">
        <w:rPr>
          <w:rFonts w:cstheme="minorHAnsi"/>
          <w:sz w:val="18"/>
          <w:szCs w:val="18"/>
        </w:rPr>
        <w:t>These data come with inherent weaknesses. First, numbers are only available for institutions that participate in or are applicants for any federal financial assistance program authorized by the Higher Education Act (HEA). Also, IPEDS does not account for the fact that some people may receive multiple degrees or certifications, so when the number of degrees awarded exceeds the number of people receiving the degrees, the number of completers can be overstated. Nevertheless, this system is the best source for collecting data regarding a broad range of educational institutions.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6CE4" w14:textId="0D791065" w:rsidR="002C5EAD" w:rsidRDefault="002C5EAD" w:rsidP="00385CCF">
    <w:pPr>
      <w:pStyle w:val="Header"/>
      <w:tabs>
        <w:tab w:val="clear" w:pos="4680"/>
        <w:tab w:val="clear" w:pos="9360"/>
        <w:tab w:val="left" w:pos="60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230452"/>
      <w:docPartObj>
        <w:docPartGallery w:val="Watermarks"/>
        <w:docPartUnique/>
      </w:docPartObj>
    </w:sdtPr>
    <w:sdtEndPr/>
    <w:sdtContent>
      <w:p w14:paraId="0273F768" w14:textId="40B99C73" w:rsidR="002C5EAD" w:rsidRDefault="007C7E49">
        <w:pPr>
          <w:pStyle w:val="Header"/>
        </w:pPr>
        <w:r>
          <w:rPr>
            <w:noProof/>
            <w:lang w:eastAsia="zh-TW"/>
          </w:rPr>
          <w:pict w14:anchorId="45874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477"/>
    <w:multiLevelType w:val="hybridMultilevel"/>
    <w:tmpl w:val="FAFA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17704"/>
    <w:multiLevelType w:val="hybridMultilevel"/>
    <w:tmpl w:val="2E98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3441"/>
    <w:multiLevelType w:val="hybridMultilevel"/>
    <w:tmpl w:val="B4D6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3689D"/>
    <w:multiLevelType w:val="hybridMultilevel"/>
    <w:tmpl w:val="44F4C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E68B8"/>
    <w:multiLevelType w:val="hybridMultilevel"/>
    <w:tmpl w:val="38B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84D06"/>
    <w:multiLevelType w:val="hybridMultilevel"/>
    <w:tmpl w:val="700E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538E1"/>
    <w:multiLevelType w:val="hybridMultilevel"/>
    <w:tmpl w:val="B4E0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D2451"/>
    <w:multiLevelType w:val="hybridMultilevel"/>
    <w:tmpl w:val="F4BC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05034"/>
    <w:multiLevelType w:val="multilevel"/>
    <w:tmpl w:val="1C8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A3E68"/>
    <w:multiLevelType w:val="hybridMultilevel"/>
    <w:tmpl w:val="BBF4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F2C7F"/>
    <w:multiLevelType w:val="hybridMultilevel"/>
    <w:tmpl w:val="700E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2"/>
  </w:num>
  <w:num w:numId="6">
    <w:abstractNumId w:val="7"/>
  </w:num>
  <w:num w:numId="7">
    <w:abstractNumId w:val="5"/>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DB"/>
    <w:rsid w:val="00000D9C"/>
    <w:rsid w:val="00002247"/>
    <w:rsid w:val="000047AA"/>
    <w:rsid w:val="0000635C"/>
    <w:rsid w:val="000064DC"/>
    <w:rsid w:val="00006D6A"/>
    <w:rsid w:val="00006E83"/>
    <w:rsid w:val="0000778C"/>
    <w:rsid w:val="00012C17"/>
    <w:rsid w:val="000135B9"/>
    <w:rsid w:val="00013F8A"/>
    <w:rsid w:val="00014CE4"/>
    <w:rsid w:val="00015389"/>
    <w:rsid w:val="00016677"/>
    <w:rsid w:val="00016F98"/>
    <w:rsid w:val="00020738"/>
    <w:rsid w:val="000211A1"/>
    <w:rsid w:val="00021DDE"/>
    <w:rsid w:val="00022276"/>
    <w:rsid w:val="00023E3A"/>
    <w:rsid w:val="00025907"/>
    <w:rsid w:val="0003043A"/>
    <w:rsid w:val="00032959"/>
    <w:rsid w:val="00033889"/>
    <w:rsid w:val="00034336"/>
    <w:rsid w:val="0003456B"/>
    <w:rsid w:val="000401F3"/>
    <w:rsid w:val="00040A87"/>
    <w:rsid w:val="000418A9"/>
    <w:rsid w:val="0004255C"/>
    <w:rsid w:val="00042A9A"/>
    <w:rsid w:val="00044019"/>
    <w:rsid w:val="000440A5"/>
    <w:rsid w:val="00044A38"/>
    <w:rsid w:val="0004684E"/>
    <w:rsid w:val="00050D47"/>
    <w:rsid w:val="00052DD2"/>
    <w:rsid w:val="000534F1"/>
    <w:rsid w:val="0005379D"/>
    <w:rsid w:val="00053F13"/>
    <w:rsid w:val="00053FED"/>
    <w:rsid w:val="00056182"/>
    <w:rsid w:val="00057276"/>
    <w:rsid w:val="00057A03"/>
    <w:rsid w:val="00060420"/>
    <w:rsid w:val="00061017"/>
    <w:rsid w:val="0006223E"/>
    <w:rsid w:val="00062BC5"/>
    <w:rsid w:val="00064FED"/>
    <w:rsid w:val="00066851"/>
    <w:rsid w:val="00066B69"/>
    <w:rsid w:val="00070B67"/>
    <w:rsid w:val="000718D9"/>
    <w:rsid w:val="000776B5"/>
    <w:rsid w:val="000824FA"/>
    <w:rsid w:val="000846AC"/>
    <w:rsid w:val="000865E2"/>
    <w:rsid w:val="00087512"/>
    <w:rsid w:val="000904A1"/>
    <w:rsid w:val="00090F55"/>
    <w:rsid w:val="0009109D"/>
    <w:rsid w:val="00091726"/>
    <w:rsid w:val="00091777"/>
    <w:rsid w:val="00091C1D"/>
    <w:rsid w:val="00091FBD"/>
    <w:rsid w:val="0009363E"/>
    <w:rsid w:val="00095A90"/>
    <w:rsid w:val="000A009A"/>
    <w:rsid w:val="000A12F4"/>
    <w:rsid w:val="000A2830"/>
    <w:rsid w:val="000A2A14"/>
    <w:rsid w:val="000A2BDB"/>
    <w:rsid w:val="000A4384"/>
    <w:rsid w:val="000A4A6F"/>
    <w:rsid w:val="000A6686"/>
    <w:rsid w:val="000A6E54"/>
    <w:rsid w:val="000B158E"/>
    <w:rsid w:val="000B22B8"/>
    <w:rsid w:val="000B268B"/>
    <w:rsid w:val="000B3A52"/>
    <w:rsid w:val="000B50E0"/>
    <w:rsid w:val="000B7B25"/>
    <w:rsid w:val="000B7D3B"/>
    <w:rsid w:val="000C18BD"/>
    <w:rsid w:val="000C292D"/>
    <w:rsid w:val="000C43BF"/>
    <w:rsid w:val="000C672D"/>
    <w:rsid w:val="000D0356"/>
    <w:rsid w:val="000D0ABB"/>
    <w:rsid w:val="000D246E"/>
    <w:rsid w:val="000D2D45"/>
    <w:rsid w:val="000D3EA3"/>
    <w:rsid w:val="000D5B5B"/>
    <w:rsid w:val="000D68FD"/>
    <w:rsid w:val="000D7249"/>
    <w:rsid w:val="000E2318"/>
    <w:rsid w:val="000E4392"/>
    <w:rsid w:val="000E4CEE"/>
    <w:rsid w:val="000E6E33"/>
    <w:rsid w:val="000E6FB9"/>
    <w:rsid w:val="000E71A7"/>
    <w:rsid w:val="000E7909"/>
    <w:rsid w:val="000F1263"/>
    <w:rsid w:val="000F1701"/>
    <w:rsid w:val="000F26CE"/>
    <w:rsid w:val="000F3BC4"/>
    <w:rsid w:val="000F4BCF"/>
    <w:rsid w:val="000F5B74"/>
    <w:rsid w:val="000F6348"/>
    <w:rsid w:val="000F6975"/>
    <w:rsid w:val="00102480"/>
    <w:rsid w:val="00102849"/>
    <w:rsid w:val="001041FA"/>
    <w:rsid w:val="00110F0F"/>
    <w:rsid w:val="001110E7"/>
    <w:rsid w:val="0011158A"/>
    <w:rsid w:val="00111EE6"/>
    <w:rsid w:val="0011275C"/>
    <w:rsid w:val="0011318F"/>
    <w:rsid w:val="001145E7"/>
    <w:rsid w:val="00116FF3"/>
    <w:rsid w:val="0011785C"/>
    <w:rsid w:val="00120AE5"/>
    <w:rsid w:val="00120D71"/>
    <w:rsid w:val="00120F65"/>
    <w:rsid w:val="00126218"/>
    <w:rsid w:val="00126F1C"/>
    <w:rsid w:val="001301A8"/>
    <w:rsid w:val="00131564"/>
    <w:rsid w:val="00131633"/>
    <w:rsid w:val="00133090"/>
    <w:rsid w:val="0013400C"/>
    <w:rsid w:val="001340F4"/>
    <w:rsid w:val="001348AF"/>
    <w:rsid w:val="00134B38"/>
    <w:rsid w:val="00135450"/>
    <w:rsid w:val="001357C5"/>
    <w:rsid w:val="001368B6"/>
    <w:rsid w:val="00137EC0"/>
    <w:rsid w:val="00137FE6"/>
    <w:rsid w:val="00140606"/>
    <w:rsid w:val="00140A02"/>
    <w:rsid w:val="00142543"/>
    <w:rsid w:val="00142F5D"/>
    <w:rsid w:val="00145D5C"/>
    <w:rsid w:val="001510DF"/>
    <w:rsid w:val="00151152"/>
    <w:rsid w:val="00151B5E"/>
    <w:rsid w:val="00152035"/>
    <w:rsid w:val="00156196"/>
    <w:rsid w:val="0015650E"/>
    <w:rsid w:val="00157BAC"/>
    <w:rsid w:val="00157C16"/>
    <w:rsid w:val="00160184"/>
    <w:rsid w:val="001603CC"/>
    <w:rsid w:val="00161615"/>
    <w:rsid w:val="001622DA"/>
    <w:rsid w:val="00165464"/>
    <w:rsid w:val="00165800"/>
    <w:rsid w:val="00165DDD"/>
    <w:rsid w:val="00166484"/>
    <w:rsid w:val="0016677A"/>
    <w:rsid w:val="00166A47"/>
    <w:rsid w:val="00167A4A"/>
    <w:rsid w:val="0017025C"/>
    <w:rsid w:val="0017165C"/>
    <w:rsid w:val="00172B29"/>
    <w:rsid w:val="001730ED"/>
    <w:rsid w:val="0017340B"/>
    <w:rsid w:val="00175F6B"/>
    <w:rsid w:val="00177B08"/>
    <w:rsid w:val="001819C1"/>
    <w:rsid w:val="00181BB8"/>
    <w:rsid w:val="001821C7"/>
    <w:rsid w:val="0018612B"/>
    <w:rsid w:val="0018612F"/>
    <w:rsid w:val="00187C7C"/>
    <w:rsid w:val="00190081"/>
    <w:rsid w:val="00190207"/>
    <w:rsid w:val="00190D3F"/>
    <w:rsid w:val="00191577"/>
    <w:rsid w:val="00193BE7"/>
    <w:rsid w:val="00194B66"/>
    <w:rsid w:val="001955F2"/>
    <w:rsid w:val="00195E7B"/>
    <w:rsid w:val="00196243"/>
    <w:rsid w:val="00196EC3"/>
    <w:rsid w:val="00197B19"/>
    <w:rsid w:val="00197F0E"/>
    <w:rsid w:val="001A125A"/>
    <w:rsid w:val="001A1646"/>
    <w:rsid w:val="001A18F4"/>
    <w:rsid w:val="001A2434"/>
    <w:rsid w:val="001A308F"/>
    <w:rsid w:val="001A314B"/>
    <w:rsid w:val="001A5B0B"/>
    <w:rsid w:val="001A5B42"/>
    <w:rsid w:val="001A618C"/>
    <w:rsid w:val="001A6586"/>
    <w:rsid w:val="001A6A8F"/>
    <w:rsid w:val="001B2579"/>
    <w:rsid w:val="001B6A16"/>
    <w:rsid w:val="001B788E"/>
    <w:rsid w:val="001C1821"/>
    <w:rsid w:val="001C569D"/>
    <w:rsid w:val="001C5DA5"/>
    <w:rsid w:val="001C673D"/>
    <w:rsid w:val="001D0385"/>
    <w:rsid w:val="001D310E"/>
    <w:rsid w:val="001D3628"/>
    <w:rsid w:val="001D3679"/>
    <w:rsid w:val="001D5C4F"/>
    <w:rsid w:val="001D620C"/>
    <w:rsid w:val="001E0D3D"/>
    <w:rsid w:val="001E11AB"/>
    <w:rsid w:val="001E3ED4"/>
    <w:rsid w:val="001E57F4"/>
    <w:rsid w:val="001F1FAF"/>
    <w:rsid w:val="001F2B58"/>
    <w:rsid w:val="001F4600"/>
    <w:rsid w:val="001F729A"/>
    <w:rsid w:val="001F7E17"/>
    <w:rsid w:val="00201DBA"/>
    <w:rsid w:val="00204A97"/>
    <w:rsid w:val="00205918"/>
    <w:rsid w:val="002059B3"/>
    <w:rsid w:val="00205A7A"/>
    <w:rsid w:val="00207F7C"/>
    <w:rsid w:val="00210A79"/>
    <w:rsid w:val="002112E1"/>
    <w:rsid w:val="00222857"/>
    <w:rsid w:val="00222A71"/>
    <w:rsid w:val="00222B6F"/>
    <w:rsid w:val="00222F0C"/>
    <w:rsid w:val="00223B69"/>
    <w:rsid w:val="002248D9"/>
    <w:rsid w:val="00224ECE"/>
    <w:rsid w:val="002266FA"/>
    <w:rsid w:val="002302F0"/>
    <w:rsid w:val="00230C52"/>
    <w:rsid w:val="00231780"/>
    <w:rsid w:val="00231E13"/>
    <w:rsid w:val="00232CA3"/>
    <w:rsid w:val="00233C7F"/>
    <w:rsid w:val="00236308"/>
    <w:rsid w:val="00236BE8"/>
    <w:rsid w:val="00237370"/>
    <w:rsid w:val="002408B0"/>
    <w:rsid w:val="00240B55"/>
    <w:rsid w:val="00241D0C"/>
    <w:rsid w:val="00242A91"/>
    <w:rsid w:val="00243774"/>
    <w:rsid w:val="00243EC6"/>
    <w:rsid w:val="00244673"/>
    <w:rsid w:val="002455CC"/>
    <w:rsid w:val="00246143"/>
    <w:rsid w:val="0024614D"/>
    <w:rsid w:val="00246854"/>
    <w:rsid w:val="00251A56"/>
    <w:rsid w:val="00253072"/>
    <w:rsid w:val="002551E6"/>
    <w:rsid w:val="00255372"/>
    <w:rsid w:val="00255FFD"/>
    <w:rsid w:val="00256318"/>
    <w:rsid w:val="00256902"/>
    <w:rsid w:val="00257102"/>
    <w:rsid w:val="00260C4A"/>
    <w:rsid w:val="00260CC1"/>
    <w:rsid w:val="002611A3"/>
    <w:rsid w:val="00262790"/>
    <w:rsid w:val="0026531D"/>
    <w:rsid w:val="002657C3"/>
    <w:rsid w:val="0026797A"/>
    <w:rsid w:val="002679E8"/>
    <w:rsid w:val="00270F6B"/>
    <w:rsid w:val="002720E4"/>
    <w:rsid w:val="00272371"/>
    <w:rsid w:val="00274C72"/>
    <w:rsid w:val="00274E96"/>
    <w:rsid w:val="00277150"/>
    <w:rsid w:val="00277A54"/>
    <w:rsid w:val="00282D40"/>
    <w:rsid w:val="002847C9"/>
    <w:rsid w:val="00284D6F"/>
    <w:rsid w:val="00285432"/>
    <w:rsid w:val="00286F49"/>
    <w:rsid w:val="00287A0D"/>
    <w:rsid w:val="002903B4"/>
    <w:rsid w:val="0029074D"/>
    <w:rsid w:val="00290A95"/>
    <w:rsid w:val="002941A6"/>
    <w:rsid w:val="0029568F"/>
    <w:rsid w:val="00296785"/>
    <w:rsid w:val="00297000"/>
    <w:rsid w:val="00297C84"/>
    <w:rsid w:val="002A0357"/>
    <w:rsid w:val="002A1559"/>
    <w:rsid w:val="002A2327"/>
    <w:rsid w:val="002A3EA3"/>
    <w:rsid w:val="002A66CD"/>
    <w:rsid w:val="002B0B1A"/>
    <w:rsid w:val="002B1A5D"/>
    <w:rsid w:val="002B2BD6"/>
    <w:rsid w:val="002B5F1D"/>
    <w:rsid w:val="002C028C"/>
    <w:rsid w:val="002C037D"/>
    <w:rsid w:val="002C0D22"/>
    <w:rsid w:val="002C26D9"/>
    <w:rsid w:val="002C4952"/>
    <w:rsid w:val="002C4D3B"/>
    <w:rsid w:val="002C4F62"/>
    <w:rsid w:val="002C59B6"/>
    <w:rsid w:val="002C5EAD"/>
    <w:rsid w:val="002C620B"/>
    <w:rsid w:val="002C6D94"/>
    <w:rsid w:val="002D0B4C"/>
    <w:rsid w:val="002D0DB1"/>
    <w:rsid w:val="002D0DFB"/>
    <w:rsid w:val="002D1984"/>
    <w:rsid w:val="002D288F"/>
    <w:rsid w:val="002D30AA"/>
    <w:rsid w:val="002D51BF"/>
    <w:rsid w:val="002D68DA"/>
    <w:rsid w:val="002E08B1"/>
    <w:rsid w:val="002E15BE"/>
    <w:rsid w:val="002E20C2"/>
    <w:rsid w:val="002E2D82"/>
    <w:rsid w:val="002E3D5D"/>
    <w:rsid w:val="002E4FA2"/>
    <w:rsid w:val="002E535D"/>
    <w:rsid w:val="002E60DA"/>
    <w:rsid w:val="002E623C"/>
    <w:rsid w:val="002E6978"/>
    <w:rsid w:val="002E7BAC"/>
    <w:rsid w:val="002E7E2D"/>
    <w:rsid w:val="002F0CB6"/>
    <w:rsid w:val="002F201F"/>
    <w:rsid w:val="002F2F71"/>
    <w:rsid w:val="002F30C4"/>
    <w:rsid w:val="002F3355"/>
    <w:rsid w:val="002F579D"/>
    <w:rsid w:val="002F5957"/>
    <w:rsid w:val="002F70BB"/>
    <w:rsid w:val="002F7354"/>
    <w:rsid w:val="00300096"/>
    <w:rsid w:val="003019F7"/>
    <w:rsid w:val="00302042"/>
    <w:rsid w:val="003046CB"/>
    <w:rsid w:val="003055E7"/>
    <w:rsid w:val="003059C0"/>
    <w:rsid w:val="00307115"/>
    <w:rsid w:val="00307716"/>
    <w:rsid w:val="00307979"/>
    <w:rsid w:val="0031154D"/>
    <w:rsid w:val="00311DA5"/>
    <w:rsid w:val="00312E19"/>
    <w:rsid w:val="00313E86"/>
    <w:rsid w:val="0031478F"/>
    <w:rsid w:val="00314C6E"/>
    <w:rsid w:val="00315100"/>
    <w:rsid w:val="00316618"/>
    <w:rsid w:val="00320DB2"/>
    <w:rsid w:val="003240B9"/>
    <w:rsid w:val="003243AB"/>
    <w:rsid w:val="00324573"/>
    <w:rsid w:val="00325C68"/>
    <w:rsid w:val="00326FBA"/>
    <w:rsid w:val="0032768C"/>
    <w:rsid w:val="003309B1"/>
    <w:rsid w:val="0033121E"/>
    <w:rsid w:val="003322A9"/>
    <w:rsid w:val="003344FE"/>
    <w:rsid w:val="00334629"/>
    <w:rsid w:val="00334FBD"/>
    <w:rsid w:val="00336715"/>
    <w:rsid w:val="003406EF"/>
    <w:rsid w:val="00340C51"/>
    <w:rsid w:val="00343082"/>
    <w:rsid w:val="003447B4"/>
    <w:rsid w:val="00344F45"/>
    <w:rsid w:val="00345030"/>
    <w:rsid w:val="0034607C"/>
    <w:rsid w:val="0034612A"/>
    <w:rsid w:val="00350966"/>
    <w:rsid w:val="00352540"/>
    <w:rsid w:val="00353ABC"/>
    <w:rsid w:val="00354209"/>
    <w:rsid w:val="003552B5"/>
    <w:rsid w:val="00355668"/>
    <w:rsid w:val="00356CF2"/>
    <w:rsid w:val="003601F3"/>
    <w:rsid w:val="00361770"/>
    <w:rsid w:val="003618D7"/>
    <w:rsid w:val="0036414D"/>
    <w:rsid w:val="00364186"/>
    <w:rsid w:val="00364AE2"/>
    <w:rsid w:val="003657FF"/>
    <w:rsid w:val="00366CBE"/>
    <w:rsid w:val="00370561"/>
    <w:rsid w:val="00370DFA"/>
    <w:rsid w:val="00373EB5"/>
    <w:rsid w:val="00375F34"/>
    <w:rsid w:val="003768ED"/>
    <w:rsid w:val="003769A6"/>
    <w:rsid w:val="00377B00"/>
    <w:rsid w:val="00377BA8"/>
    <w:rsid w:val="00377CBA"/>
    <w:rsid w:val="00380272"/>
    <w:rsid w:val="00381AD7"/>
    <w:rsid w:val="00384835"/>
    <w:rsid w:val="00384961"/>
    <w:rsid w:val="00384EEC"/>
    <w:rsid w:val="00385498"/>
    <w:rsid w:val="00385A2F"/>
    <w:rsid w:val="00385CCF"/>
    <w:rsid w:val="00386397"/>
    <w:rsid w:val="003865CD"/>
    <w:rsid w:val="00387DB7"/>
    <w:rsid w:val="00390AAC"/>
    <w:rsid w:val="00390F6C"/>
    <w:rsid w:val="00390FEB"/>
    <w:rsid w:val="00391BEA"/>
    <w:rsid w:val="00392052"/>
    <w:rsid w:val="00394493"/>
    <w:rsid w:val="003960FC"/>
    <w:rsid w:val="003966E8"/>
    <w:rsid w:val="00396CD0"/>
    <w:rsid w:val="00397B8C"/>
    <w:rsid w:val="003A2BCD"/>
    <w:rsid w:val="003A2C2F"/>
    <w:rsid w:val="003A78AE"/>
    <w:rsid w:val="003A7B12"/>
    <w:rsid w:val="003B129F"/>
    <w:rsid w:val="003B330A"/>
    <w:rsid w:val="003B7F14"/>
    <w:rsid w:val="003C0AB9"/>
    <w:rsid w:val="003C1615"/>
    <w:rsid w:val="003C2A88"/>
    <w:rsid w:val="003C4120"/>
    <w:rsid w:val="003C4A7C"/>
    <w:rsid w:val="003C7A2B"/>
    <w:rsid w:val="003D416F"/>
    <w:rsid w:val="003D4412"/>
    <w:rsid w:val="003D45D3"/>
    <w:rsid w:val="003D499E"/>
    <w:rsid w:val="003E3AA0"/>
    <w:rsid w:val="003E551F"/>
    <w:rsid w:val="003E602E"/>
    <w:rsid w:val="003E7318"/>
    <w:rsid w:val="003E7509"/>
    <w:rsid w:val="003E7E33"/>
    <w:rsid w:val="003F019E"/>
    <w:rsid w:val="003F0E4F"/>
    <w:rsid w:val="003F1F17"/>
    <w:rsid w:val="003F436E"/>
    <w:rsid w:val="003F4628"/>
    <w:rsid w:val="003F5C3F"/>
    <w:rsid w:val="003F6CAE"/>
    <w:rsid w:val="003F74AC"/>
    <w:rsid w:val="00400517"/>
    <w:rsid w:val="00402F76"/>
    <w:rsid w:val="00404CE2"/>
    <w:rsid w:val="0040508C"/>
    <w:rsid w:val="0040510A"/>
    <w:rsid w:val="004063A1"/>
    <w:rsid w:val="004074AC"/>
    <w:rsid w:val="004107DC"/>
    <w:rsid w:val="00411B62"/>
    <w:rsid w:val="0041222A"/>
    <w:rsid w:val="004124D8"/>
    <w:rsid w:val="00412BE9"/>
    <w:rsid w:val="0041375F"/>
    <w:rsid w:val="00414571"/>
    <w:rsid w:val="00415595"/>
    <w:rsid w:val="0041731B"/>
    <w:rsid w:val="00417BA4"/>
    <w:rsid w:val="00420C72"/>
    <w:rsid w:val="00420D33"/>
    <w:rsid w:val="0042165F"/>
    <w:rsid w:val="0042666D"/>
    <w:rsid w:val="00426F7D"/>
    <w:rsid w:val="0042709D"/>
    <w:rsid w:val="00427756"/>
    <w:rsid w:val="00431260"/>
    <w:rsid w:val="004317C4"/>
    <w:rsid w:val="00433E4D"/>
    <w:rsid w:val="00434AC0"/>
    <w:rsid w:val="004350B6"/>
    <w:rsid w:val="00435C03"/>
    <w:rsid w:val="004379A9"/>
    <w:rsid w:val="00441DD9"/>
    <w:rsid w:val="00444C69"/>
    <w:rsid w:val="004454FC"/>
    <w:rsid w:val="0044576F"/>
    <w:rsid w:val="00445912"/>
    <w:rsid w:val="004505C6"/>
    <w:rsid w:val="0045113D"/>
    <w:rsid w:val="00452DE2"/>
    <w:rsid w:val="00455539"/>
    <w:rsid w:val="004560D5"/>
    <w:rsid w:val="004578CD"/>
    <w:rsid w:val="004618E2"/>
    <w:rsid w:val="00465620"/>
    <w:rsid w:val="00465682"/>
    <w:rsid w:val="00466B35"/>
    <w:rsid w:val="004676D4"/>
    <w:rsid w:val="0047285A"/>
    <w:rsid w:val="00473C9B"/>
    <w:rsid w:val="00475E2D"/>
    <w:rsid w:val="004765C8"/>
    <w:rsid w:val="00481101"/>
    <w:rsid w:val="00481FB0"/>
    <w:rsid w:val="004824E1"/>
    <w:rsid w:val="00482FA9"/>
    <w:rsid w:val="00483728"/>
    <w:rsid w:val="004846C7"/>
    <w:rsid w:val="00490291"/>
    <w:rsid w:val="00491707"/>
    <w:rsid w:val="00491DD9"/>
    <w:rsid w:val="004961D6"/>
    <w:rsid w:val="004A0F72"/>
    <w:rsid w:val="004A32AB"/>
    <w:rsid w:val="004A479F"/>
    <w:rsid w:val="004A4850"/>
    <w:rsid w:val="004A4F48"/>
    <w:rsid w:val="004B0B90"/>
    <w:rsid w:val="004B2828"/>
    <w:rsid w:val="004B5E98"/>
    <w:rsid w:val="004B64FA"/>
    <w:rsid w:val="004B7A19"/>
    <w:rsid w:val="004C0FF8"/>
    <w:rsid w:val="004C1209"/>
    <w:rsid w:val="004C3A49"/>
    <w:rsid w:val="004C44FD"/>
    <w:rsid w:val="004D07CA"/>
    <w:rsid w:val="004D1960"/>
    <w:rsid w:val="004D22A3"/>
    <w:rsid w:val="004D6C67"/>
    <w:rsid w:val="004D7F78"/>
    <w:rsid w:val="004E33AC"/>
    <w:rsid w:val="004E3BBD"/>
    <w:rsid w:val="004E6D65"/>
    <w:rsid w:val="004E77E5"/>
    <w:rsid w:val="004F01A7"/>
    <w:rsid w:val="004F1E67"/>
    <w:rsid w:val="004F20A7"/>
    <w:rsid w:val="004F3AC4"/>
    <w:rsid w:val="004F6A68"/>
    <w:rsid w:val="004F6D8A"/>
    <w:rsid w:val="004F738A"/>
    <w:rsid w:val="004F7D77"/>
    <w:rsid w:val="004F7D7D"/>
    <w:rsid w:val="005009BA"/>
    <w:rsid w:val="00500C8F"/>
    <w:rsid w:val="0050168B"/>
    <w:rsid w:val="00502613"/>
    <w:rsid w:val="005047E3"/>
    <w:rsid w:val="00505D79"/>
    <w:rsid w:val="005062BD"/>
    <w:rsid w:val="00506390"/>
    <w:rsid w:val="005064D3"/>
    <w:rsid w:val="00507F41"/>
    <w:rsid w:val="00512AA3"/>
    <w:rsid w:val="0051331C"/>
    <w:rsid w:val="00516393"/>
    <w:rsid w:val="00517853"/>
    <w:rsid w:val="00520598"/>
    <w:rsid w:val="0052222B"/>
    <w:rsid w:val="005230E6"/>
    <w:rsid w:val="00523F5B"/>
    <w:rsid w:val="00524383"/>
    <w:rsid w:val="00525451"/>
    <w:rsid w:val="00525A58"/>
    <w:rsid w:val="00525C94"/>
    <w:rsid w:val="00525D5C"/>
    <w:rsid w:val="00525EE1"/>
    <w:rsid w:val="00526398"/>
    <w:rsid w:val="00526AE4"/>
    <w:rsid w:val="0053005F"/>
    <w:rsid w:val="00535A06"/>
    <w:rsid w:val="00536EB4"/>
    <w:rsid w:val="005407D2"/>
    <w:rsid w:val="00543F0E"/>
    <w:rsid w:val="005460A2"/>
    <w:rsid w:val="005477A8"/>
    <w:rsid w:val="00551337"/>
    <w:rsid w:val="00551EF0"/>
    <w:rsid w:val="00552BF4"/>
    <w:rsid w:val="00552CEB"/>
    <w:rsid w:val="00552DCE"/>
    <w:rsid w:val="005558C4"/>
    <w:rsid w:val="00555990"/>
    <w:rsid w:val="005568DE"/>
    <w:rsid w:val="00560716"/>
    <w:rsid w:val="00561C4E"/>
    <w:rsid w:val="00562108"/>
    <w:rsid w:val="00564218"/>
    <w:rsid w:val="00565511"/>
    <w:rsid w:val="00570130"/>
    <w:rsid w:val="005715BC"/>
    <w:rsid w:val="00572652"/>
    <w:rsid w:val="00574240"/>
    <w:rsid w:val="00574860"/>
    <w:rsid w:val="005765A7"/>
    <w:rsid w:val="00580A0C"/>
    <w:rsid w:val="005824E8"/>
    <w:rsid w:val="00583EB6"/>
    <w:rsid w:val="00585484"/>
    <w:rsid w:val="00585590"/>
    <w:rsid w:val="0058623C"/>
    <w:rsid w:val="005875C8"/>
    <w:rsid w:val="00587D95"/>
    <w:rsid w:val="005902D8"/>
    <w:rsid w:val="0059088A"/>
    <w:rsid w:val="00591C5D"/>
    <w:rsid w:val="0059447E"/>
    <w:rsid w:val="005947FE"/>
    <w:rsid w:val="00595565"/>
    <w:rsid w:val="00595D32"/>
    <w:rsid w:val="0059791A"/>
    <w:rsid w:val="00597F1F"/>
    <w:rsid w:val="005A0E51"/>
    <w:rsid w:val="005A1F90"/>
    <w:rsid w:val="005A22E3"/>
    <w:rsid w:val="005A2618"/>
    <w:rsid w:val="005A2FE3"/>
    <w:rsid w:val="005A4A64"/>
    <w:rsid w:val="005A71F9"/>
    <w:rsid w:val="005A751C"/>
    <w:rsid w:val="005B1346"/>
    <w:rsid w:val="005B1A91"/>
    <w:rsid w:val="005B1AB2"/>
    <w:rsid w:val="005B3A07"/>
    <w:rsid w:val="005B68C7"/>
    <w:rsid w:val="005C0703"/>
    <w:rsid w:val="005C13C1"/>
    <w:rsid w:val="005C2AC0"/>
    <w:rsid w:val="005C30EE"/>
    <w:rsid w:val="005C36B6"/>
    <w:rsid w:val="005C4AEF"/>
    <w:rsid w:val="005C554F"/>
    <w:rsid w:val="005C6469"/>
    <w:rsid w:val="005D18BF"/>
    <w:rsid w:val="005D2A80"/>
    <w:rsid w:val="005D3537"/>
    <w:rsid w:val="005D49D1"/>
    <w:rsid w:val="005D5E46"/>
    <w:rsid w:val="005D67A6"/>
    <w:rsid w:val="005D7283"/>
    <w:rsid w:val="005D79B1"/>
    <w:rsid w:val="005E1AC2"/>
    <w:rsid w:val="005E238E"/>
    <w:rsid w:val="005E26B1"/>
    <w:rsid w:val="005E2776"/>
    <w:rsid w:val="005E2964"/>
    <w:rsid w:val="005E2C43"/>
    <w:rsid w:val="005E3D0A"/>
    <w:rsid w:val="005E54A2"/>
    <w:rsid w:val="005F2F86"/>
    <w:rsid w:val="005F4E2C"/>
    <w:rsid w:val="005F78D6"/>
    <w:rsid w:val="005F7ABF"/>
    <w:rsid w:val="005F7BEF"/>
    <w:rsid w:val="0060051E"/>
    <w:rsid w:val="006007DA"/>
    <w:rsid w:val="00600BA0"/>
    <w:rsid w:val="006020E1"/>
    <w:rsid w:val="006023A0"/>
    <w:rsid w:val="00603B9A"/>
    <w:rsid w:val="00603E3F"/>
    <w:rsid w:val="006050F2"/>
    <w:rsid w:val="0060584B"/>
    <w:rsid w:val="00606C60"/>
    <w:rsid w:val="006078E8"/>
    <w:rsid w:val="00607A86"/>
    <w:rsid w:val="006104C6"/>
    <w:rsid w:val="0061201B"/>
    <w:rsid w:val="00614CA5"/>
    <w:rsid w:val="00616CF4"/>
    <w:rsid w:val="00621080"/>
    <w:rsid w:val="006236B5"/>
    <w:rsid w:val="0062585A"/>
    <w:rsid w:val="00625E50"/>
    <w:rsid w:val="00635F56"/>
    <w:rsid w:val="0063684C"/>
    <w:rsid w:val="0064030A"/>
    <w:rsid w:val="00641562"/>
    <w:rsid w:val="0064223A"/>
    <w:rsid w:val="00643056"/>
    <w:rsid w:val="00643FCC"/>
    <w:rsid w:val="00647959"/>
    <w:rsid w:val="00647D8A"/>
    <w:rsid w:val="00651513"/>
    <w:rsid w:val="00652C55"/>
    <w:rsid w:val="00653546"/>
    <w:rsid w:val="00653CDD"/>
    <w:rsid w:val="00654AE5"/>
    <w:rsid w:val="00655335"/>
    <w:rsid w:val="00655419"/>
    <w:rsid w:val="00656312"/>
    <w:rsid w:val="006565B6"/>
    <w:rsid w:val="00657175"/>
    <w:rsid w:val="00660186"/>
    <w:rsid w:val="006619BA"/>
    <w:rsid w:val="006628FA"/>
    <w:rsid w:val="00662CB2"/>
    <w:rsid w:val="00663210"/>
    <w:rsid w:val="0066432D"/>
    <w:rsid w:val="0066529C"/>
    <w:rsid w:val="00665529"/>
    <w:rsid w:val="0066588A"/>
    <w:rsid w:val="0066619D"/>
    <w:rsid w:val="006724D0"/>
    <w:rsid w:val="00673EEA"/>
    <w:rsid w:val="0067629C"/>
    <w:rsid w:val="006766AC"/>
    <w:rsid w:val="006818B4"/>
    <w:rsid w:val="00682E50"/>
    <w:rsid w:val="006836CB"/>
    <w:rsid w:val="00691749"/>
    <w:rsid w:val="00691D95"/>
    <w:rsid w:val="006925A1"/>
    <w:rsid w:val="006933DC"/>
    <w:rsid w:val="00694BAB"/>
    <w:rsid w:val="00694D07"/>
    <w:rsid w:val="00695478"/>
    <w:rsid w:val="00695D13"/>
    <w:rsid w:val="006A08DA"/>
    <w:rsid w:val="006A166A"/>
    <w:rsid w:val="006A1C6B"/>
    <w:rsid w:val="006A28CA"/>
    <w:rsid w:val="006A29D1"/>
    <w:rsid w:val="006A3062"/>
    <w:rsid w:val="006A4240"/>
    <w:rsid w:val="006A4724"/>
    <w:rsid w:val="006A74F3"/>
    <w:rsid w:val="006A7FC7"/>
    <w:rsid w:val="006B2208"/>
    <w:rsid w:val="006B2685"/>
    <w:rsid w:val="006B29DB"/>
    <w:rsid w:val="006B5000"/>
    <w:rsid w:val="006C0910"/>
    <w:rsid w:val="006C0F11"/>
    <w:rsid w:val="006C38C7"/>
    <w:rsid w:val="006C5AF1"/>
    <w:rsid w:val="006D1926"/>
    <w:rsid w:val="006D1C88"/>
    <w:rsid w:val="006D3664"/>
    <w:rsid w:val="006D3DA4"/>
    <w:rsid w:val="006D6336"/>
    <w:rsid w:val="006D63D5"/>
    <w:rsid w:val="006E19CC"/>
    <w:rsid w:val="006E51D3"/>
    <w:rsid w:val="006E5A64"/>
    <w:rsid w:val="006E5B0D"/>
    <w:rsid w:val="006E5E6F"/>
    <w:rsid w:val="006E77D0"/>
    <w:rsid w:val="006F1F0A"/>
    <w:rsid w:val="006F2701"/>
    <w:rsid w:val="006F299A"/>
    <w:rsid w:val="006F3453"/>
    <w:rsid w:val="006F3465"/>
    <w:rsid w:val="006F3E81"/>
    <w:rsid w:val="006F5FC4"/>
    <w:rsid w:val="006F6179"/>
    <w:rsid w:val="006F7C13"/>
    <w:rsid w:val="006F7F54"/>
    <w:rsid w:val="00701D48"/>
    <w:rsid w:val="007024BA"/>
    <w:rsid w:val="00710121"/>
    <w:rsid w:val="0071197D"/>
    <w:rsid w:val="0071465E"/>
    <w:rsid w:val="00714810"/>
    <w:rsid w:val="007155CE"/>
    <w:rsid w:val="00716B60"/>
    <w:rsid w:val="00716C69"/>
    <w:rsid w:val="00720C83"/>
    <w:rsid w:val="0072192A"/>
    <w:rsid w:val="007222A4"/>
    <w:rsid w:val="007230AC"/>
    <w:rsid w:val="00723335"/>
    <w:rsid w:val="007242DC"/>
    <w:rsid w:val="00725023"/>
    <w:rsid w:val="007252F9"/>
    <w:rsid w:val="00725CF5"/>
    <w:rsid w:val="00725EE1"/>
    <w:rsid w:val="00726EEE"/>
    <w:rsid w:val="00730ED8"/>
    <w:rsid w:val="0073313E"/>
    <w:rsid w:val="00733374"/>
    <w:rsid w:val="00735184"/>
    <w:rsid w:val="007353DF"/>
    <w:rsid w:val="0073566E"/>
    <w:rsid w:val="00736A9C"/>
    <w:rsid w:val="0073715A"/>
    <w:rsid w:val="00737251"/>
    <w:rsid w:val="0073738F"/>
    <w:rsid w:val="007422B7"/>
    <w:rsid w:val="0074249C"/>
    <w:rsid w:val="00742973"/>
    <w:rsid w:val="00742FFF"/>
    <w:rsid w:val="0074373C"/>
    <w:rsid w:val="00744E4A"/>
    <w:rsid w:val="0074522E"/>
    <w:rsid w:val="00745A98"/>
    <w:rsid w:val="007462F4"/>
    <w:rsid w:val="00747819"/>
    <w:rsid w:val="0075030A"/>
    <w:rsid w:val="007520EC"/>
    <w:rsid w:val="00752D67"/>
    <w:rsid w:val="00752E32"/>
    <w:rsid w:val="0075580E"/>
    <w:rsid w:val="007575E1"/>
    <w:rsid w:val="00760AB1"/>
    <w:rsid w:val="007626C5"/>
    <w:rsid w:val="007628B9"/>
    <w:rsid w:val="00762C00"/>
    <w:rsid w:val="007636A0"/>
    <w:rsid w:val="007636E7"/>
    <w:rsid w:val="00763F71"/>
    <w:rsid w:val="00764991"/>
    <w:rsid w:val="00764D60"/>
    <w:rsid w:val="00765248"/>
    <w:rsid w:val="00766626"/>
    <w:rsid w:val="007740DD"/>
    <w:rsid w:val="007741FE"/>
    <w:rsid w:val="00774297"/>
    <w:rsid w:val="007751D8"/>
    <w:rsid w:val="00775E12"/>
    <w:rsid w:val="00775EDA"/>
    <w:rsid w:val="0078062A"/>
    <w:rsid w:val="00781F48"/>
    <w:rsid w:val="00786221"/>
    <w:rsid w:val="00792B9A"/>
    <w:rsid w:val="0079340A"/>
    <w:rsid w:val="00794210"/>
    <w:rsid w:val="00795583"/>
    <w:rsid w:val="00797ADB"/>
    <w:rsid w:val="007A1506"/>
    <w:rsid w:val="007A2709"/>
    <w:rsid w:val="007A2E57"/>
    <w:rsid w:val="007A3E53"/>
    <w:rsid w:val="007A3E84"/>
    <w:rsid w:val="007A516C"/>
    <w:rsid w:val="007A6CDF"/>
    <w:rsid w:val="007B046A"/>
    <w:rsid w:val="007B1128"/>
    <w:rsid w:val="007B1C4F"/>
    <w:rsid w:val="007B291C"/>
    <w:rsid w:val="007B46E9"/>
    <w:rsid w:val="007B5C35"/>
    <w:rsid w:val="007B5C50"/>
    <w:rsid w:val="007C0BDF"/>
    <w:rsid w:val="007C0C8B"/>
    <w:rsid w:val="007C1DA3"/>
    <w:rsid w:val="007C2C0F"/>
    <w:rsid w:val="007C45AE"/>
    <w:rsid w:val="007C49BB"/>
    <w:rsid w:val="007C4E74"/>
    <w:rsid w:val="007C7E49"/>
    <w:rsid w:val="007D0DE4"/>
    <w:rsid w:val="007D5A3C"/>
    <w:rsid w:val="007D62D5"/>
    <w:rsid w:val="007D7111"/>
    <w:rsid w:val="007D71A4"/>
    <w:rsid w:val="007D74E5"/>
    <w:rsid w:val="007D75B3"/>
    <w:rsid w:val="007E2C3F"/>
    <w:rsid w:val="007E31DB"/>
    <w:rsid w:val="007E3DFA"/>
    <w:rsid w:val="007E568B"/>
    <w:rsid w:val="007E604B"/>
    <w:rsid w:val="007E6843"/>
    <w:rsid w:val="007E768D"/>
    <w:rsid w:val="007F03C2"/>
    <w:rsid w:val="007F2E61"/>
    <w:rsid w:val="007F662A"/>
    <w:rsid w:val="007F6AD2"/>
    <w:rsid w:val="007F7C64"/>
    <w:rsid w:val="00802EDC"/>
    <w:rsid w:val="00804B09"/>
    <w:rsid w:val="00804C29"/>
    <w:rsid w:val="00805ED0"/>
    <w:rsid w:val="00806A54"/>
    <w:rsid w:val="00807F05"/>
    <w:rsid w:val="00810403"/>
    <w:rsid w:val="008118E6"/>
    <w:rsid w:val="00812285"/>
    <w:rsid w:val="008129E5"/>
    <w:rsid w:val="00812F79"/>
    <w:rsid w:val="008143B7"/>
    <w:rsid w:val="0081660F"/>
    <w:rsid w:val="00821776"/>
    <w:rsid w:val="00823D16"/>
    <w:rsid w:val="008259D7"/>
    <w:rsid w:val="00830410"/>
    <w:rsid w:val="008340AA"/>
    <w:rsid w:val="00834AC4"/>
    <w:rsid w:val="00835618"/>
    <w:rsid w:val="00835A01"/>
    <w:rsid w:val="00840C05"/>
    <w:rsid w:val="00841142"/>
    <w:rsid w:val="00841C7D"/>
    <w:rsid w:val="00842329"/>
    <w:rsid w:val="0084491C"/>
    <w:rsid w:val="00845E92"/>
    <w:rsid w:val="0085327A"/>
    <w:rsid w:val="00853318"/>
    <w:rsid w:val="00853831"/>
    <w:rsid w:val="0085386F"/>
    <w:rsid w:val="008542FB"/>
    <w:rsid w:val="008549A3"/>
    <w:rsid w:val="00856B4C"/>
    <w:rsid w:val="00860E9A"/>
    <w:rsid w:val="008613C8"/>
    <w:rsid w:val="00861462"/>
    <w:rsid w:val="0086503E"/>
    <w:rsid w:val="00865AE7"/>
    <w:rsid w:val="0087160E"/>
    <w:rsid w:val="008722B1"/>
    <w:rsid w:val="008726A9"/>
    <w:rsid w:val="008739C9"/>
    <w:rsid w:val="00874FF8"/>
    <w:rsid w:val="00875478"/>
    <w:rsid w:val="008761D8"/>
    <w:rsid w:val="00877A52"/>
    <w:rsid w:val="0088105B"/>
    <w:rsid w:val="00881D3A"/>
    <w:rsid w:val="0088256E"/>
    <w:rsid w:val="008866CF"/>
    <w:rsid w:val="00886DCB"/>
    <w:rsid w:val="00886F22"/>
    <w:rsid w:val="00890023"/>
    <w:rsid w:val="00891E38"/>
    <w:rsid w:val="00891FF1"/>
    <w:rsid w:val="008930F6"/>
    <w:rsid w:val="008935A6"/>
    <w:rsid w:val="00893DDF"/>
    <w:rsid w:val="00894057"/>
    <w:rsid w:val="00896E67"/>
    <w:rsid w:val="00897194"/>
    <w:rsid w:val="00897373"/>
    <w:rsid w:val="008A0363"/>
    <w:rsid w:val="008A416E"/>
    <w:rsid w:val="008A43E5"/>
    <w:rsid w:val="008A5B82"/>
    <w:rsid w:val="008A7DB3"/>
    <w:rsid w:val="008B0385"/>
    <w:rsid w:val="008B2606"/>
    <w:rsid w:val="008B3E72"/>
    <w:rsid w:val="008B44E9"/>
    <w:rsid w:val="008B57AE"/>
    <w:rsid w:val="008B58EE"/>
    <w:rsid w:val="008D059F"/>
    <w:rsid w:val="008D098C"/>
    <w:rsid w:val="008D377E"/>
    <w:rsid w:val="008D46D5"/>
    <w:rsid w:val="008D53C9"/>
    <w:rsid w:val="008E0376"/>
    <w:rsid w:val="008E0427"/>
    <w:rsid w:val="008E17A7"/>
    <w:rsid w:val="008E1EA9"/>
    <w:rsid w:val="008E46F6"/>
    <w:rsid w:val="008E5966"/>
    <w:rsid w:val="008E735F"/>
    <w:rsid w:val="008E78B1"/>
    <w:rsid w:val="008F1B49"/>
    <w:rsid w:val="008F368E"/>
    <w:rsid w:val="008F46BD"/>
    <w:rsid w:val="008F63DB"/>
    <w:rsid w:val="00900D12"/>
    <w:rsid w:val="00901163"/>
    <w:rsid w:val="00902707"/>
    <w:rsid w:val="00902EB4"/>
    <w:rsid w:val="0090417F"/>
    <w:rsid w:val="009063A2"/>
    <w:rsid w:val="0090761C"/>
    <w:rsid w:val="00912083"/>
    <w:rsid w:val="0091430A"/>
    <w:rsid w:val="0091442E"/>
    <w:rsid w:val="009168F9"/>
    <w:rsid w:val="00916D0F"/>
    <w:rsid w:val="00921037"/>
    <w:rsid w:val="00921C78"/>
    <w:rsid w:val="00923A8E"/>
    <w:rsid w:val="00923E53"/>
    <w:rsid w:val="00925DE9"/>
    <w:rsid w:val="00925FAB"/>
    <w:rsid w:val="00930235"/>
    <w:rsid w:val="0093569D"/>
    <w:rsid w:val="00937083"/>
    <w:rsid w:val="009426B7"/>
    <w:rsid w:val="00943ED4"/>
    <w:rsid w:val="009440AD"/>
    <w:rsid w:val="00946DF4"/>
    <w:rsid w:val="009506EB"/>
    <w:rsid w:val="009509A5"/>
    <w:rsid w:val="00951BEB"/>
    <w:rsid w:val="00951C61"/>
    <w:rsid w:val="009522A1"/>
    <w:rsid w:val="009538F3"/>
    <w:rsid w:val="0095581D"/>
    <w:rsid w:val="0095625F"/>
    <w:rsid w:val="0095753C"/>
    <w:rsid w:val="00963AA1"/>
    <w:rsid w:val="00963EC2"/>
    <w:rsid w:val="00964F74"/>
    <w:rsid w:val="00965847"/>
    <w:rsid w:val="00965ABB"/>
    <w:rsid w:val="00966666"/>
    <w:rsid w:val="009706B8"/>
    <w:rsid w:val="00970DA0"/>
    <w:rsid w:val="009715AA"/>
    <w:rsid w:val="0097334B"/>
    <w:rsid w:val="009751EB"/>
    <w:rsid w:val="00976625"/>
    <w:rsid w:val="009806BE"/>
    <w:rsid w:val="00983047"/>
    <w:rsid w:val="00986A03"/>
    <w:rsid w:val="00987CB4"/>
    <w:rsid w:val="009912FD"/>
    <w:rsid w:val="0099188B"/>
    <w:rsid w:val="0099257B"/>
    <w:rsid w:val="00997E99"/>
    <w:rsid w:val="009A1CCB"/>
    <w:rsid w:val="009A38AB"/>
    <w:rsid w:val="009A3A9D"/>
    <w:rsid w:val="009A4F84"/>
    <w:rsid w:val="009A4F98"/>
    <w:rsid w:val="009A617D"/>
    <w:rsid w:val="009A677F"/>
    <w:rsid w:val="009B11C8"/>
    <w:rsid w:val="009B12B7"/>
    <w:rsid w:val="009B4BFB"/>
    <w:rsid w:val="009B4E33"/>
    <w:rsid w:val="009B4EB8"/>
    <w:rsid w:val="009B6B48"/>
    <w:rsid w:val="009C0059"/>
    <w:rsid w:val="009C0123"/>
    <w:rsid w:val="009C08C6"/>
    <w:rsid w:val="009C234F"/>
    <w:rsid w:val="009C26B1"/>
    <w:rsid w:val="009C4C7B"/>
    <w:rsid w:val="009C4D0C"/>
    <w:rsid w:val="009C7122"/>
    <w:rsid w:val="009C7B20"/>
    <w:rsid w:val="009D1396"/>
    <w:rsid w:val="009D35D3"/>
    <w:rsid w:val="009D381E"/>
    <w:rsid w:val="009D7BB1"/>
    <w:rsid w:val="009E0200"/>
    <w:rsid w:val="009E1884"/>
    <w:rsid w:val="009E24FC"/>
    <w:rsid w:val="009E3BED"/>
    <w:rsid w:val="009E501E"/>
    <w:rsid w:val="009E5DB0"/>
    <w:rsid w:val="009E6782"/>
    <w:rsid w:val="009E6AF1"/>
    <w:rsid w:val="009E6D39"/>
    <w:rsid w:val="009E7D12"/>
    <w:rsid w:val="009F0A85"/>
    <w:rsid w:val="009F0DE0"/>
    <w:rsid w:val="009F141B"/>
    <w:rsid w:val="009F1526"/>
    <w:rsid w:val="009F2505"/>
    <w:rsid w:val="009F6E39"/>
    <w:rsid w:val="009F7602"/>
    <w:rsid w:val="009F7BF2"/>
    <w:rsid w:val="009F7F52"/>
    <w:rsid w:val="00A0086C"/>
    <w:rsid w:val="00A00F3A"/>
    <w:rsid w:val="00A01EAA"/>
    <w:rsid w:val="00A025DE"/>
    <w:rsid w:val="00A02C29"/>
    <w:rsid w:val="00A048AC"/>
    <w:rsid w:val="00A05E83"/>
    <w:rsid w:val="00A05F71"/>
    <w:rsid w:val="00A07097"/>
    <w:rsid w:val="00A073F9"/>
    <w:rsid w:val="00A07E93"/>
    <w:rsid w:val="00A103EF"/>
    <w:rsid w:val="00A1094B"/>
    <w:rsid w:val="00A12E86"/>
    <w:rsid w:val="00A1591C"/>
    <w:rsid w:val="00A15D4C"/>
    <w:rsid w:val="00A173A4"/>
    <w:rsid w:val="00A17A32"/>
    <w:rsid w:val="00A2180C"/>
    <w:rsid w:val="00A227D7"/>
    <w:rsid w:val="00A22A3F"/>
    <w:rsid w:val="00A23FC9"/>
    <w:rsid w:val="00A25A49"/>
    <w:rsid w:val="00A26418"/>
    <w:rsid w:val="00A27BA6"/>
    <w:rsid w:val="00A27CF1"/>
    <w:rsid w:val="00A300C0"/>
    <w:rsid w:val="00A30445"/>
    <w:rsid w:val="00A318F2"/>
    <w:rsid w:val="00A34921"/>
    <w:rsid w:val="00A35525"/>
    <w:rsid w:val="00A376F1"/>
    <w:rsid w:val="00A4070B"/>
    <w:rsid w:val="00A4349F"/>
    <w:rsid w:val="00A50839"/>
    <w:rsid w:val="00A50866"/>
    <w:rsid w:val="00A513E6"/>
    <w:rsid w:val="00A51502"/>
    <w:rsid w:val="00A51D7A"/>
    <w:rsid w:val="00A53459"/>
    <w:rsid w:val="00A540E0"/>
    <w:rsid w:val="00A55881"/>
    <w:rsid w:val="00A55D58"/>
    <w:rsid w:val="00A5710A"/>
    <w:rsid w:val="00A57C34"/>
    <w:rsid w:val="00A60645"/>
    <w:rsid w:val="00A619CE"/>
    <w:rsid w:val="00A627C8"/>
    <w:rsid w:val="00A6342C"/>
    <w:rsid w:val="00A638AA"/>
    <w:rsid w:val="00A63CD1"/>
    <w:rsid w:val="00A63FB5"/>
    <w:rsid w:val="00A719DB"/>
    <w:rsid w:val="00A738E2"/>
    <w:rsid w:val="00A74871"/>
    <w:rsid w:val="00A841F8"/>
    <w:rsid w:val="00A8478B"/>
    <w:rsid w:val="00A9521B"/>
    <w:rsid w:val="00A97425"/>
    <w:rsid w:val="00AA0452"/>
    <w:rsid w:val="00AA1B5D"/>
    <w:rsid w:val="00AA1D1E"/>
    <w:rsid w:val="00AA2039"/>
    <w:rsid w:val="00AA353F"/>
    <w:rsid w:val="00AA533F"/>
    <w:rsid w:val="00AA69F5"/>
    <w:rsid w:val="00AA6DF0"/>
    <w:rsid w:val="00AA7148"/>
    <w:rsid w:val="00AA7353"/>
    <w:rsid w:val="00AB05EF"/>
    <w:rsid w:val="00AB1D8F"/>
    <w:rsid w:val="00AB230D"/>
    <w:rsid w:val="00AB2B1A"/>
    <w:rsid w:val="00AB3AD2"/>
    <w:rsid w:val="00AB4892"/>
    <w:rsid w:val="00AB4C2D"/>
    <w:rsid w:val="00AC06AE"/>
    <w:rsid w:val="00AC1614"/>
    <w:rsid w:val="00AC3587"/>
    <w:rsid w:val="00AC409C"/>
    <w:rsid w:val="00AC4996"/>
    <w:rsid w:val="00AC4F66"/>
    <w:rsid w:val="00AC584A"/>
    <w:rsid w:val="00AC64CF"/>
    <w:rsid w:val="00AC687E"/>
    <w:rsid w:val="00AD0F16"/>
    <w:rsid w:val="00AD1179"/>
    <w:rsid w:val="00AD170C"/>
    <w:rsid w:val="00AD178C"/>
    <w:rsid w:val="00AD3A4B"/>
    <w:rsid w:val="00AD3AA9"/>
    <w:rsid w:val="00AD5379"/>
    <w:rsid w:val="00AD5767"/>
    <w:rsid w:val="00AD6B48"/>
    <w:rsid w:val="00AD725A"/>
    <w:rsid w:val="00AD78A6"/>
    <w:rsid w:val="00AE0098"/>
    <w:rsid w:val="00AE25C7"/>
    <w:rsid w:val="00AE5839"/>
    <w:rsid w:val="00AE6187"/>
    <w:rsid w:val="00AE757E"/>
    <w:rsid w:val="00AF171B"/>
    <w:rsid w:val="00AF4B83"/>
    <w:rsid w:val="00AF74F5"/>
    <w:rsid w:val="00AF7D25"/>
    <w:rsid w:val="00B00228"/>
    <w:rsid w:val="00B0115F"/>
    <w:rsid w:val="00B0215E"/>
    <w:rsid w:val="00B02750"/>
    <w:rsid w:val="00B039A4"/>
    <w:rsid w:val="00B042E3"/>
    <w:rsid w:val="00B043C3"/>
    <w:rsid w:val="00B05E40"/>
    <w:rsid w:val="00B05EFB"/>
    <w:rsid w:val="00B06469"/>
    <w:rsid w:val="00B07171"/>
    <w:rsid w:val="00B07F7A"/>
    <w:rsid w:val="00B101E7"/>
    <w:rsid w:val="00B108D5"/>
    <w:rsid w:val="00B13C13"/>
    <w:rsid w:val="00B1465C"/>
    <w:rsid w:val="00B1524D"/>
    <w:rsid w:val="00B1533D"/>
    <w:rsid w:val="00B162FA"/>
    <w:rsid w:val="00B16AEC"/>
    <w:rsid w:val="00B1768A"/>
    <w:rsid w:val="00B17C84"/>
    <w:rsid w:val="00B17F90"/>
    <w:rsid w:val="00B213EA"/>
    <w:rsid w:val="00B22888"/>
    <w:rsid w:val="00B23FD8"/>
    <w:rsid w:val="00B242A5"/>
    <w:rsid w:val="00B257E1"/>
    <w:rsid w:val="00B25FC8"/>
    <w:rsid w:val="00B2674A"/>
    <w:rsid w:val="00B26813"/>
    <w:rsid w:val="00B32510"/>
    <w:rsid w:val="00B35641"/>
    <w:rsid w:val="00B35CDE"/>
    <w:rsid w:val="00B36D9B"/>
    <w:rsid w:val="00B416C2"/>
    <w:rsid w:val="00B42546"/>
    <w:rsid w:val="00B43AB5"/>
    <w:rsid w:val="00B51844"/>
    <w:rsid w:val="00B5312A"/>
    <w:rsid w:val="00B56616"/>
    <w:rsid w:val="00B567A9"/>
    <w:rsid w:val="00B57AC7"/>
    <w:rsid w:val="00B608C9"/>
    <w:rsid w:val="00B64239"/>
    <w:rsid w:val="00B659FD"/>
    <w:rsid w:val="00B66D19"/>
    <w:rsid w:val="00B66F45"/>
    <w:rsid w:val="00B71F95"/>
    <w:rsid w:val="00B720D7"/>
    <w:rsid w:val="00B7210A"/>
    <w:rsid w:val="00B73C3C"/>
    <w:rsid w:val="00B73D05"/>
    <w:rsid w:val="00B745F7"/>
    <w:rsid w:val="00B77186"/>
    <w:rsid w:val="00B82647"/>
    <w:rsid w:val="00B83718"/>
    <w:rsid w:val="00B8534C"/>
    <w:rsid w:val="00B858C8"/>
    <w:rsid w:val="00B86CBC"/>
    <w:rsid w:val="00B92248"/>
    <w:rsid w:val="00B93D66"/>
    <w:rsid w:val="00B94BE7"/>
    <w:rsid w:val="00B95296"/>
    <w:rsid w:val="00B95487"/>
    <w:rsid w:val="00BA0412"/>
    <w:rsid w:val="00BA29B2"/>
    <w:rsid w:val="00BA5685"/>
    <w:rsid w:val="00BA6E82"/>
    <w:rsid w:val="00BA7CAE"/>
    <w:rsid w:val="00BB68E4"/>
    <w:rsid w:val="00BC1CE4"/>
    <w:rsid w:val="00BC27BB"/>
    <w:rsid w:val="00BC2FB4"/>
    <w:rsid w:val="00BC39A2"/>
    <w:rsid w:val="00BC3EDA"/>
    <w:rsid w:val="00BC5821"/>
    <w:rsid w:val="00BC6434"/>
    <w:rsid w:val="00BC6F00"/>
    <w:rsid w:val="00BC7B5F"/>
    <w:rsid w:val="00BD0C91"/>
    <w:rsid w:val="00BD13E8"/>
    <w:rsid w:val="00BD1911"/>
    <w:rsid w:val="00BD28AF"/>
    <w:rsid w:val="00BD2A07"/>
    <w:rsid w:val="00BD3716"/>
    <w:rsid w:val="00BD3B77"/>
    <w:rsid w:val="00BD4472"/>
    <w:rsid w:val="00BD55E4"/>
    <w:rsid w:val="00BD635D"/>
    <w:rsid w:val="00BD6400"/>
    <w:rsid w:val="00BE24A0"/>
    <w:rsid w:val="00BE4841"/>
    <w:rsid w:val="00BE570C"/>
    <w:rsid w:val="00BE6224"/>
    <w:rsid w:val="00BE7CD2"/>
    <w:rsid w:val="00BF1132"/>
    <w:rsid w:val="00BF1937"/>
    <w:rsid w:val="00BF211F"/>
    <w:rsid w:val="00BF2D77"/>
    <w:rsid w:val="00BF405A"/>
    <w:rsid w:val="00BF4480"/>
    <w:rsid w:val="00BF55A5"/>
    <w:rsid w:val="00BF5DBF"/>
    <w:rsid w:val="00BF747B"/>
    <w:rsid w:val="00C034FB"/>
    <w:rsid w:val="00C0520A"/>
    <w:rsid w:val="00C067A5"/>
    <w:rsid w:val="00C15118"/>
    <w:rsid w:val="00C153A2"/>
    <w:rsid w:val="00C17AC1"/>
    <w:rsid w:val="00C17C83"/>
    <w:rsid w:val="00C23CF3"/>
    <w:rsid w:val="00C25370"/>
    <w:rsid w:val="00C31E96"/>
    <w:rsid w:val="00C32763"/>
    <w:rsid w:val="00C32780"/>
    <w:rsid w:val="00C32FBF"/>
    <w:rsid w:val="00C34883"/>
    <w:rsid w:val="00C3609A"/>
    <w:rsid w:val="00C41E7B"/>
    <w:rsid w:val="00C42AB0"/>
    <w:rsid w:val="00C44F00"/>
    <w:rsid w:val="00C4621E"/>
    <w:rsid w:val="00C46615"/>
    <w:rsid w:val="00C4681F"/>
    <w:rsid w:val="00C513A0"/>
    <w:rsid w:val="00C5311D"/>
    <w:rsid w:val="00C531D1"/>
    <w:rsid w:val="00C53845"/>
    <w:rsid w:val="00C53D02"/>
    <w:rsid w:val="00C55DE0"/>
    <w:rsid w:val="00C56124"/>
    <w:rsid w:val="00C565F7"/>
    <w:rsid w:val="00C6015D"/>
    <w:rsid w:val="00C60221"/>
    <w:rsid w:val="00C60C71"/>
    <w:rsid w:val="00C61914"/>
    <w:rsid w:val="00C633D6"/>
    <w:rsid w:val="00C64F55"/>
    <w:rsid w:val="00C65652"/>
    <w:rsid w:val="00C6595A"/>
    <w:rsid w:val="00C67690"/>
    <w:rsid w:val="00C679E9"/>
    <w:rsid w:val="00C7059E"/>
    <w:rsid w:val="00C72811"/>
    <w:rsid w:val="00C72F7F"/>
    <w:rsid w:val="00C743AD"/>
    <w:rsid w:val="00C74709"/>
    <w:rsid w:val="00C74D81"/>
    <w:rsid w:val="00C77A58"/>
    <w:rsid w:val="00C804F9"/>
    <w:rsid w:val="00C807EB"/>
    <w:rsid w:val="00C81CAD"/>
    <w:rsid w:val="00C826DD"/>
    <w:rsid w:val="00C82715"/>
    <w:rsid w:val="00C82F4B"/>
    <w:rsid w:val="00C83419"/>
    <w:rsid w:val="00C84F27"/>
    <w:rsid w:val="00C852DE"/>
    <w:rsid w:val="00C86C4C"/>
    <w:rsid w:val="00C87021"/>
    <w:rsid w:val="00C872B1"/>
    <w:rsid w:val="00C87B63"/>
    <w:rsid w:val="00C9016E"/>
    <w:rsid w:val="00C91AE1"/>
    <w:rsid w:val="00C91EBF"/>
    <w:rsid w:val="00C923E0"/>
    <w:rsid w:val="00C94CE9"/>
    <w:rsid w:val="00C95226"/>
    <w:rsid w:val="00C97C65"/>
    <w:rsid w:val="00C97D81"/>
    <w:rsid w:val="00CA0139"/>
    <w:rsid w:val="00CA228A"/>
    <w:rsid w:val="00CA2418"/>
    <w:rsid w:val="00CA2A93"/>
    <w:rsid w:val="00CA6171"/>
    <w:rsid w:val="00CB0A8F"/>
    <w:rsid w:val="00CB22EA"/>
    <w:rsid w:val="00CB2EC5"/>
    <w:rsid w:val="00CB3872"/>
    <w:rsid w:val="00CB414A"/>
    <w:rsid w:val="00CB6C57"/>
    <w:rsid w:val="00CB6F04"/>
    <w:rsid w:val="00CB7E0A"/>
    <w:rsid w:val="00CC062A"/>
    <w:rsid w:val="00CC2158"/>
    <w:rsid w:val="00CC303B"/>
    <w:rsid w:val="00CC3536"/>
    <w:rsid w:val="00CC4C07"/>
    <w:rsid w:val="00CC58BE"/>
    <w:rsid w:val="00CC615B"/>
    <w:rsid w:val="00CC6D84"/>
    <w:rsid w:val="00CD0364"/>
    <w:rsid w:val="00CD2648"/>
    <w:rsid w:val="00CD3B7C"/>
    <w:rsid w:val="00CD4031"/>
    <w:rsid w:val="00CD6175"/>
    <w:rsid w:val="00CD6954"/>
    <w:rsid w:val="00CE04B0"/>
    <w:rsid w:val="00CE1223"/>
    <w:rsid w:val="00CE3622"/>
    <w:rsid w:val="00CE48EB"/>
    <w:rsid w:val="00CE51C5"/>
    <w:rsid w:val="00CE7D95"/>
    <w:rsid w:val="00CF1539"/>
    <w:rsid w:val="00CF1BA0"/>
    <w:rsid w:val="00CF288B"/>
    <w:rsid w:val="00CF2E25"/>
    <w:rsid w:val="00CF4472"/>
    <w:rsid w:val="00CF4D11"/>
    <w:rsid w:val="00CF52D1"/>
    <w:rsid w:val="00CF5D08"/>
    <w:rsid w:val="00CF6668"/>
    <w:rsid w:val="00CF776E"/>
    <w:rsid w:val="00D00616"/>
    <w:rsid w:val="00D038E6"/>
    <w:rsid w:val="00D04680"/>
    <w:rsid w:val="00D05042"/>
    <w:rsid w:val="00D05B49"/>
    <w:rsid w:val="00D11F47"/>
    <w:rsid w:val="00D12627"/>
    <w:rsid w:val="00D1274A"/>
    <w:rsid w:val="00D130A9"/>
    <w:rsid w:val="00D13314"/>
    <w:rsid w:val="00D135AB"/>
    <w:rsid w:val="00D13CBB"/>
    <w:rsid w:val="00D13D50"/>
    <w:rsid w:val="00D143A0"/>
    <w:rsid w:val="00D14842"/>
    <w:rsid w:val="00D154A7"/>
    <w:rsid w:val="00D16013"/>
    <w:rsid w:val="00D16EA9"/>
    <w:rsid w:val="00D17552"/>
    <w:rsid w:val="00D21238"/>
    <w:rsid w:val="00D216EA"/>
    <w:rsid w:val="00D22B8D"/>
    <w:rsid w:val="00D255D9"/>
    <w:rsid w:val="00D26614"/>
    <w:rsid w:val="00D26E5F"/>
    <w:rsid w:val="00D27C84"/>
    <w:rsid w:val="00D30516"/>
    <w:rsid w:val="00D306A7"/>
    <w:rsid w:val="00D31A06"/>
    <w:rsid w:val="00D33121"/>
    <w:rsid w:val="00D34A24"/>
    <w:rsid w:val="00D35D32"/>
    <w:rsid w:val="00D36B86"/>
    <w:rsid w:val="00D36EE5"/>
    <w:rsid w:val="00D41932"/>
    <w:rsid w:val="00D43E8E"/>
    <w:rsid w:val="00D50A19"/>
    <w:rsid w:val="00D51A4C"/>
    <w:rsid w:val="00D54360"/>
    <w:rsid w:val="00D549ED"/>
    <w:rsid w:val="00D55942"/>
    <w:rsid w:val="00D60B90"/>
    <w:rsid w:val="00D62887"/>
    <w:rsid w:val="00D63830"/>
    <w:rsid w:val="00D63C9B"/>
    <w:rsid w:val="00D648D2"/>
    <w:rsid w:val="00D64B11"/>
    <w:rsid w:val="00D65260"/>
    <w:rsid w:val="00D65481"/>
    <w:rsid w:val="00D6631D"/>
    <w:rsid w:val="00D7050B"/>
    <w:rsid w:val="00D70B98"/>
    <w:rsid w:val="00D73EDD"/>
    <w:rsid w:val="00D745AA"/>
    <w:rsid w:val="00D76232"/>
    <w:rsid w:val="00D77560"/>
    <w:rsid w:val="00D77C12"/>
    <w:rsid w:val="00D80EA3"/>
    <w:rsid w:val="00D844F8"/>
    <w:rsid w:val="00D86679"/>
    <w:rsid w:val="00D87719"/>
    <w:rsid w:val="00D909CD"/>
    <w:rsid w:val="00D90F7F"/>
    <w:rsid w:val="00D92128"/>
    <w:rsid w:val="00D94128"/>
    <w:rsid w:val="00D950CC"/>
    <w:rsid w:val="00D95D34"/>
    <w:rsid w:val="00D96918"/>
    <w:rsid w:val="00DA2212"/>
    <w:rsid w:val="00DA22F1"/>
    <w:rsid w:val="00DA30E2"/>
    <w:rsid w:val="00DA3300"/>
    <w:rsid w:val="00DA3C8D"/>
    <w:rsid w:val="00DA60C3"/>
    <w:rsid w:val="00DA714B"/>
    <w:rsid w:val="00DA76DA"/>
    <w:rsid w:val="00DA7A75"/>
    <w:rsid w:val="00DB10D2"/>
    <w:rsid w:val="00DB17F7"/>
    <w:rsid w:val="00DB397B"/>
    <w:rsid w:val="00DB3988"/>
    <w:rsid w:val="00DB5E3D"/>
    <w:rsid w:val="00DB631B"/>
    <w:rsid w:val="00DB6CFB"/>
    <w:rsid w:val="00DC02E4"/>
    <w:rsid w:val="00DC1D17"/>
    <w:rsid w:val="00DC2424"/>
    <w:rsid w:val="00DC3753"/>
    <w:rsid w:val="00DD0B72"/>
    <w:rsid w:val="00DD0DD0"/>
    <w:rsid w:val="00DD40D5"/>
    <w:rsid w:val="00DD52D4"/>
    <w:rsid w:val="00DD5CB0"/>
    <w:rsid w:val="00DD76B8"/>
    <w:rsid w:val="00DD7BCB"/>
    <w:rsid w:val="00DE012B"/>
    <w:rsid w:val="00DE0C2E"/>
    <w:rsid w:val="00DE2306"/>
    <w:rsid w:val="00DE27A2"/>
    <w:rsid w:val="00DE3EB2"/>
    <w:rsid w:val="00DE6B86"/>
    <w:rsid w:val="00DE7313"/>
    <w:rsid w:val="00DF0FD6"/>
    <w:rsid w:val="00DF50C4"/>
    <w:rsid w:val="00E014B6"/>
    <w:rsid w:val="00E02051"/>
    <w:rsid w:val="00E02585"/>
    <w:rsid w:val="00E03523"/>
    <w:rsid w:val="00E04D26"/>
    <w:rsid w:val="00E057E5"/>
    <w:rsid w:val="00E067A0"/>
    <w:rsid w:val="00E12D4F"/>
    <w:rsid w:val="00E12F75"/>
    <w:rsid w:val="00E13AFD"/>
    <w:rsid w:val="00E15B67"/>
    <w:rsid w:val="00E21F5E"/>
    <w:rsid w:val="00E22857"/>
    <w:rsid w:val="00E253C7"/>
    <w:rsid w:val="00E27ABB"/>
    <w:rsid w:val="00E314D1"/>
    <w:rsid w:val="00E318B0"/>
    <w:rsid w:val="00E31BE8"/>
    <w:rsid w:val="00E3248B"/>
    <w:rsid w:val="00E32FEF"/>
    <w:rsid w:val="00E344D9"/>
    <w:rsid w:val="00E3529E"/>
    <w:rsid w:val="00E3637C"/>
    <w:rsid w:val="00E37487"/>
    <w:rsid w:val="00E41462"/>
    <w:rsid w:val="00E428D8"/>
    <w:rsid w:val="00E43396"/>
    <w:rsid w:val="00E43B36"/>
    <w:rsid w:val="00E45E6B"/>
    <w:rsid w:val="00E50323"/>
    <w:rsid w:val="00E50F20"/>
    <w:rsid w:val="00E51059"/>
    <w:rsid w:val="00E52765"/>
    <w:rsid w:val="00E54584"/>
    <w:rsid w:val="00E54676"/>
    <w:rsid w:val="00E55C26"/>
    <w:rsid w:val="00E56D31"/>
    <w:rsid w:val="00E608DB"/>
    <w:rsid w:val="00E60C3A"/>
    <w:rsid w:val="00E61A77"/>
    <w:rsid w:val="00E61E27"/>
    <w:rsid w:val="00E623BD"/>
    <w:rsid w:val="00E62E12"/>
    <w:rsid w:val="00E64D92"/>
    <w:rsid w:val="00E65781"/>
    <w:rsid w:val="00E67443"/>
    <w:rsid w:val="00E67FE8"/>
    <w:rsid w:val="00E70481"/>
    <w:rsid w:val="00E7327C"/>
    <w:rsid w:val="00E74359"/>
    <w:rsid w:val="00E745F1"/>
    <w:rsid w:val="00E7494C"/>
    <w:rsid w:val="00E74B40"/>
    <w:rsid w:val="00E74C45"/>
    <w:rsid w:val="00E75130"/>
    <w:rsid w:val="00E817CF"/>
    <w:rsid w:val="00E846AE"/>
    <w:rsid w:val="00E861D8"/>
    <w:rsid w:val="00E86EC1"/>
    <w:rsid w:val="00E8732B"/>
    <w:rsid w:val="00E917FD"/>
    <w:rsid w:val="00E91B0E"/>
    <w:rsid w:val="00E9271C"/>
    <w:rsid w:val="00E93077"/>
    <w:rsid w:val="00E93080"/>
    <w:rsid w:val="00E95674"/>
    <w:rsid w:val="00EA051C"/>
    <w:rsid w:val="00EA235E"/>
    <w:rsid w:val="00EA2AE4"/>
    <w:rsid w:val="00EA3A4F"/>
    <w:rsid w:val="00EA4FC9"/>
    <w:rsid w:val="00EA54CF"/>
    <w:rsid w:val="00EA7540"/>
    <w:rsid w:val="00EB070D"/>
    <w:rsid w:val="00EB1C84"/>
    <w:rsid w:val="00EB1FF2"/>
    <w:rsid w:val="00EB30D4"/>
    <w:rsid w:val="00EB33A1"/>
    <w:rsid w:val="00EB4F42"/>
    <w:rsid w:val="00EB5C34"/>
    <w:rsid w:val="00EB5CD8"/>
    <w:rsid w:val="00EB5DB0"/>
    <w:rsid w:val="00EB5E74"/>
    <w:rsid w:val="00EB6261"/>
    <w:rsid w:val="00EB7E0E"/>
    <w:rsid w:val="00EC04BA"/>
    <w:rsid w:val="00EC2A49"/>
    <w:rsid w:val="00EC5548"/>
    <w:rsid w:val="00EC566C"/>
    <w:rsid w:val="00EC61F8"/>
    <w:rsid w:val="00ED0EF5"/>
    <w:rsid w:val="00ED194A"/>
    <w:rsid w:val="00ED1C7E"/>
    <w:rsid w:val="00ED37C4"/>
    <w:rsid w:val="00ED39FF"/>
    <w:rsid w:val="00ED5F51"/>
    <w:rsid w:val="00EE0049"/>
    <w:rsid w:val="00EE03F6"/>
    <w:rsid w:val="00EE10EA"/>
    <w:rsid w:val="00EE14B7"/>
    <w:rsid w:val="00EE186D"/>
    <w:rsid w:val="00EE1DFB"/>
    <w:rsid w:val="00EE29C2"/>
    <w:rsid w:val="00EE2E26"/>
    <w:rsid w:val="00EE3210"/>
    <w:rsid w:val="00EE5A6B"/>
    <w:rsid w:val="00EE68CB"/>
    <w:rsid w:val="00EF3582"/>
    <w:rsid w:val="00EF4E24"/>
    <w:rsid w:val="00EF50A9"/>
    <w:rsid w:val="00EF5ADF"/>
    <w:rsid w:val="00EF65FC"/>
    <w:rsid w:val="00EF753F"/>
    <w:rsid w:val="00EF7846"/>
    <w:rsid w:val="00EF7B82"/>
    <w:rsid w:val="00F002AE"/>
    <w:rsid w:val="00F00899"/>
    <w:rsid w:val="00F010DD"/>
    <w:rsid w:val="00F061BD"/>
    <w:rsid w:val="00F062D6"/>
    <w:rsid w:val="00F10719"/>
    <w:rsid w:val="00F11AD2"/>
    <w:rsid w:val="00F1298E"/>
    <w:rsid w:val="00F13ED5"/>
    <w:rsid w:val="00F14135"/>
    <w:rsid w:val="00F2053C"/>
    <w:rsid w:val="00F208C6"/>
    <w:rsid w:val="00F21089"/>
    <w:rsid w:val="00F22B06"/>
    <w:rsid w:val="00F23C1A"/>
    <w:rsid w:val="00F23F7F"/>
    <w:rsid w:val="00F242B3"/>
    <w:rsid w:val="00F2663C"/>
    <w:rsid w:val="00F26711"/>
    <w:rsid w:val="00F30BB9"/>
    <w:rsid w:val="00F30CEA"/>
    <w:rsid w:val="00F31074"/>
    <w:rsid w:val="00F3304B"/>
    <w:rsid w:val="00F33473"/>
    <w:rsid w:val="00F363BE"/>
    <w:rsid w:val="00F369CE"/>
    <w:rsid w:val="00F406FA"/>
    <w:rsid w:val="00F40B23"/>
    <w:rsid w:val="00F40F05"/>
    <w:rsid w:val="00F43CF7"/>
    <w:rsid w:val="00F43F4A"/>
    <w:rsid w:val="00F46B44"/>
    <w:rsid w:val="00F470A4"/>
    <w:rsid w:val="00F47C7D"/>
    <w:rsid w:val="00F51CF7"/>
    <w:rsid w:val="00F52C59"/>
    <w:rsid w:val="00F532CB"/>
    <w:rsid w:val="00F54CC3"/>
    <w:rsid w:val="00F5649B"/>
    <w:rsid w:val="00F56A0D"/>
    <w:rsid w:val="00F56D92"/>
    <w:rsid w:val="00F609D0"/>
    <w:rsid w:val="00F6119E"/>
    <w:rsid w:val="00F618DF"/>
    <w:rsid w:val="00F619D4"/>
    <w:rsid w:val="00F61DF9"/>
    <w:rsid w:val="00F62306"/>
    <w:rsid w:val="00F668BC"/>
    <w:rsid w:val="00F67223"/>
    <w:rsid w:val="00F67430"/>
    <w:rsid w:val="00F70611"/>
    <w:rsid w:val="00F710C1"/>
    <w:rsid w:val="00F7191D"/>
    <w:rsid w:val="00F734D9"/>
    <w:rsid w:val="00F75D8E"/>
    <w:rsid w:val="00F7617A"/>
    <w:rsid w:val="00F8095C"/>
    <w:rsid w:val="00F825D5"/>
    <w:rsid w:val="00F86102"/>
    <w:rsid w:val="00F86D98"/>
    <w:rsid w:val="00F91C00"/>
    <w:rsid w:val="00F92368"/>
    <w:rsid w:val="00F9262A"/>
    <w:rsid w:val="00F9343E"/>
    <w:rsid w:val="00F9428D"/>
    <w:rsid w:val="00F94ED0"/>
    <w:rsid w:val="00F978DE"/>
    <w:rsid w:val="00FA1941"/>
    <w:rsid w:val="00FA29A0"/>
    <w:rsid w:val="00FA4C88"/>
    <w:rsid w:val="00FA732A"/>
    <w:rsid w:val="00FB1AB6"/>
    <w:rsid w:val="00FB2CFD"/>
    <w:rsid w:val="00FB3279"/>
    <w:rsid w:val="00FB552A"/>
    <w:rsid w:val="00FB6970"/>
    <w:rsid w:val="00FB70F1"/>
    <w:rsid w:val="00FC055E"/>
    <w:rsid w:val="00FC2DCC"/>
    <w:rsid w:val="00FC3473"/>
    <w:rsid w:val="00FC49B9"/>
    <w:rsid w:val="00FC7C8C"/>
    <w:rsid w:val="00FD1431"/>
    <w:rsid w:val="00FD72CF"/>
    <w:rsid w:val="00FD732C"/>
    <w:rsid w:val="00FE0872"/>
    <w:rsid w:val="00FE341C"/>
    <w:rsid w:val="00FE3ED1"/>
    <w:rsid w:val="00FE4085"/>
    <w:rsid w:val="00FE460B"/>
    <w:rsid w:val="00FE5A48"/>
    <w:rsid w:val="00FE65A0"/>
    <w:rsid w:val="00FF0462"/>
    <w:rsid w:val="00FF0839"/>
    <w:rsid w:val="00FF0C56"/>
    <w:rsid w:val="00FF1B2F"/>
    <w:rsid w:val="00FF212C"/>
    <w:rsid w:val="00FF5831"/>
    <w:rsid w:val="00FF5D7C"/>
    <w:rsid w:val="00FF606A"/>
    <w:rsid w:val="00FF6206"/>
    <w:rsid w:val="00FF70F0"/>
    <w:rsid w:val="00FF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47C8E1"/>
  <w15:docId w15:val="{204ABA21-57AC-4988-8DDC-D846D0FD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B2"/>
    <w:pPr>
      <w:spacing w:before="120" w:after="120" w:line="300" w:lineRule="auto"/>
      <w:jc w:val="both"/>
    </w:pPr>
    <w:rPr>
      <w:rFonts w:ascii="Garamond" w:eastAsia="Times New Roman" w:hAnsi="Garamond" w:cs="Times New Roman"/>
      <w:sz w:val="24"/>
      <w:szCs w:val="24"/>
    </w:rPr>
  </w:style>
  <w:style w:type="paragraph" w:styleId="Heading1">
    <w:name w:val="heading 1"/>
    <w:basedOn w:val="Normal"/>
    <w:next w:val="Normal"/>
    <w:link w:val="Heading1Char"/>
    <w:qFormat/>
    <w:rsid w:val="00925FAB"/>
    <w:pPr>
      <w:keepNext/>
      <w:pageBreakBefore/>
      <w:pBdr>
        <w:top w:val="single" w:sz="24" w:space="8" w:color="auto"/>
        <w:bottom w:val="single" w:sz="8" w:space="9" w:color="auto"/>
      </w:pBdr>
      <w:spacing w:before="0" w:after="480" w:line="240" w:lineRule="auto"/>
      <w:jc w:val="left"/>
      <w:outlineLvl w:val="0"/>
    </w:pPr>
    <w:rPr>
      <w:rFonts w:ascii="Myriad Pro" w:hAnsi="Myriad Pro" w:cs="Arial"/>
      <w:b/>
      <w:bCs/>
      <w:kern w:val="32"/>
      <w:sz w:val="64"/>
      <w:szCs w:val="32"/>
    </w:rPr>
  </w:style>
  <w:style w:type="paragraph" w:styleId="Heading2">
    <w:name w:val="heading 2"/>
    <w:basedOn w:val="Normal"/>
    <w:next w:val="Normal"/>
    <w:link w:val="Heading2Char"/>
    <w:qFormat/>
    <w:rsid w:val="00B242A5"/>
    <w:pPr>
      <w:keepNext/>
      <w:spacing w:before="360"/>
      <w:outlineLvl w:val="1"/>
    </w:pPr>
    <w:rPr>
      <w:rFonts w:ascii="Arial" w:hAnsi="Arial" w:cs="Arial"/>
      <w:b/>
      <w:bCs/>
      <w:iCs/>
      <w:sz w:val="30"/>
      <w:szCs w:val="30"/>
    </w:rPr>
  </w:style>
  <w:style w:type="paragraph" w:styleId="Heading3">
    <w:name w:val="heading 3"/>
    <w:basedOn w:val="Normal"/>
    <w:next w:val="Normal"/>
    <w:link w:val="Heading3Char"/>
    <w:qFormat/>
    <w:rsid w:val="00DE3EB2"/>
    <w:pPr>
      <w:keepNext/>
      <w:spacing w:before="360" w:line="276" w:lineRule="auto"/>
      <w:outlineLvl w:val="2"/>
    </w:pPr>
    <w:rPr>
      <w:rFonts w:ascii="Arial" w:hAnsi="Arial" w:cs="Arial"/>
      <w:b/>
      <w:bCs/>
      <w:szCs w:val="26"/>
    </w:rPr>
  </w:style>
  <w:style w:type="paragraph" w:styleId="Heading4">
    <w:name w:val="heading 4"/>
    <w:basedOn w:val="Normal"/>
    <w:next w:val="Normal"/>
    <w:link w:val="Heading4Char"/>
    <w:uiPriority w:val="9"/>
    <w:unhideWhenUsed/>
    <w:qFormat/>
    <w:rsid w:val="00BA04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49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FAB"/>
    <w:rPr>
      <w:rFonts w:ascii="Myriad Pro" w:eastAsia="Times New Roman" w:hAnsi="Myriad Pro" w:cs="Arial"/>
      <w:b/>
      <w:bCs/>
      <w:kern w:val="32"/>
      <w:sz w:val="64"/>
      <w:szCs w:val="32"/>
    </w:rPr>
  </w:style>
  <w:style w:type="character" w:customStyle="1" w:styleId="Heading2Char">
    <w:name w:val="Heading 2 Char"/>
    <w:basedOn w:val="DefaultParagraphFont"/>
    <w:link w:val="Heading2"/>
    <w:rsid w:val="00B242A5"/>
    <w:rPr>
      <w:rFonts w:ascii="Arial" w:eastAsia="Times New Roman" w:hAnsi="Arial" w:cs="Arial"/>
      <w:b/>
      <w:bCs/>
      <w:iCs/>
      <w:sz w:val="30"/>
      <w:szCs w:val="30"/>
    </w:rPr>
  </w:style>
  <w:style w:type="character" w:customStyle="1" w:styleId="Heading3Char">
    <w:name w:val="Heading 3 Char"/>
    <w:basedOn w:val="DefaultParagraphFont"/>
    <w:link w:val="Heading3"/>
    <w:rsid w:val="0026531D"/>
    <w:rPr>
      <w:rFonts w:ascii="Arial" w:eastAsia="Times New Roman" w:hAnsi="Arial" w:cs="Arial"/>
      <w:b/>
      <w:bCs/>
      <w:sz w:val="24"/>
      <w:szCs w:val="26"/>
    </w:rPr>
  </w:style>
  <w:style w:type="character" w:customStyle="1" w:styleId="Heading4Char">
    <w:name w:val="Heading 4 Char"/>
    <w:basedOn w:val="DefaultParagraphFont"/>
    <w:link w:val="Heading4"/>
    <w:uiPriority w:val="9"/>
    <w:rsid w:val="00BA041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4491C"/>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08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DB"/>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E608DB"/>
    <w:pPr>
      <w:spacing w:line="276" w:lineRule="auto"/>
      <w:outlineLvl w:val="9"/>
    </w:pPr>
    <w:rPr>
      <w:lang w:eastAsia="ja-JP"/>
    </w:rPr>
  </w:style>
  <w:style w:type="paragraph" w:styleId="TOC1">
    <w:name w:val="toc 1"/>
    <w:basedOn w:val="Normal"/>
    <w:next w:val="Normal"/>
    <w:autoRedefine/>
    <w:uiPriority w:val="39"/>
    <w:unhideWhenUsed/>
    <w:rsid w:val="00E608DB"/>
    <w:pPr>
      <w:spacing w:after="100"/>
    </w:pPr>
  </w:style>
  <w:style w:type="character" w:styleId="Hyperlink">
    <w:name w:val="Hyperlink"/>
    <w:basedOn w:val="DefaultParagraphFont"/>
    <w:uiPriority w:val="99"/>
    <w:unhideWhenUsed/>
    <w:rsid w:val="00E608DB"/>
    <w:rPr>
      <w:color w:val="0000FF" w:themeColor="hyperlink"/>
      <w:u w:val="single"/>
    </w:rPr>
  </w:style>
  <w:style w:type="paragraph" w:styleId="Header">
    <w:name w:val="header"/>
    <w:basedOn w:val="Normal"/>
    <w:link w:val="HeaderChar"/>
    <w:uiPriority w:val="99"/>
    <w:rsid w:val="00DE3EB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3EB2"/>
    <w:rPr>
      <w:rFonts w:ascii="Garamond" w:eastAsia="Times New Roman" w:hAnsi="Garamond" w:cs="Times New Roman"/>
      <w:sz w:val="24"/>
      <w:szCs w:val="24"/>
    </w:rPr>
  </w:style>
  <w:style w:type="paragraph" w:styleId="Footer">
    <w:name w:val="footer"/>
    <w:basedOn w:val="Normal"/>
    <w:link w:val="FooterChar"/>
    <w:uiPriority w:val="99"/>
    <w:rsid w:val="00DE3EB2"/>
    <w:pPr>
      <w:pBdr>
        <w:top w:val="single" w:sz="8" w:space="5" w:color="A6A6A6" w:themeColor="background1" w:themeShade="A6"/>
      </w:pBdr>
      <w:tabs>
        <w:tab w:val="center" w:pos="4680"/>
        <w:tab w:val="right" w:pos="9360"/>
      </w:tabs>
      <w:spacing w:before="0" w:after="0" w:line="240" w:lineRule="auto"/>
    </w:pPr>
    <w:rPr>
      <w:rFonts w:ascii="Myriad Pro" w:hAnsi="Myriad Pro"/>
      <w:caps/>
      <w:sz w:val="20"/>
    </w:rPr>
  </w:style>
  <w:style w:type="character" w:customStyle="1" w:styleId="FooterChar">
    <w:name w:val="Footer Char"/>
    <w:basedOn w:val="DefaultParagraphFont"/>
    <w:link w:val="Footer"/>
    <w:uiPriority w:val="99"/>
    <w:rsid w:val="00DE3EB2"/>
    <w:rPr>
      <w:rFonts w:ascii="Myriad Pro" w:eastAsia="Times New Roman" w:hAnsi="Myriad Pro" w:cs="Times New Roman"/>
      <w:caps/>
      <w:sz w:val="20"/>
      <w:szCs w:val="24"/>
    </w:rPr>
  </w:style>
  <w:style w:type="paragraph" w:styleId="FootnoteText">
    <w:name w:val="footnote text"/>
    <w:basedOn w:val="Normal"/>
    <w:link w:val="FootnoteTextChar"/>
    <w:uiPriority w:val="99"/>
    <w:rsid w:val="00DE3EB2"/>
    <w:pPr>
      <w:keepLines/>
      <w:spacing w:before="0" w:after="0" w:line="240" w:lineRule="auto"/>
    </w:pPr>
    <w:rPr>
      <w:sz w:val="20"/>
      <w:szCs w:val="20"/>
    </w:rPr>
  </w:style>
  <w:style w:type="character" w:customStyle="1" w:styleId="FootnoteTextChar">
    <w:name w:val="Footnote Text Char"/>
    <w:basedOn w:val="DefaultParagraphFont"/>
    <w:link w:val="FootnoteText"/>
    <w:uiPriority w:val="99"/>
    <w:rsid w:val="00DE3EB2"/>
    <w:rPr>
      <w:rFonts w:ascii="Garamond" w:eastAsia="Times New Roman" w:hAnsi="Garamond" w:cs="Times New Roman"/>
      <w:sz w:val="20"/>
      <w:szCs w:val="20"/>
    </w:rPr>
  </w:style>
  <w:style w:type="character" w:styleId="FootnoteReference">
    <w:name w:val="footnote reference"/>
    <w:rsid w:val="00DE3EB2"/>
    <w:rPr>
      <w:vertAlign w:val="superscript"/>
    </w:rPr>
  </w:style>
  <w:style w:type="character" w:styleId="CommentReference">
    <w:name w:val="annotation reference"/>
    <w:basedOn w:val="DefaultParagraphFont"/>
    <w:uiPriority w:val="99"/>
    <w:semiHidden/>
    <w:unhideWhenUsed/>
    <w:rsid w:val="00BA0412"/>
    <w:rPr>
      <w:sz w:val="16"/>
      <w:szCs w:val="16"/>
    </w:rPr>
  </w:style>
  <w:style w:type="paragraph" w:styleId="CommentText">
    <w:name w:val="annotation text"/>
    <w:basedOn w:val="Normal"/>
    <w:link w:val="CommentTextChar"/>
    <w:uiPriority w:val="99"/>
    <w:semiHidden/>
    <w:unhideWhenUsed/>
    <w:rsid w:val="00BA0412"/>
    <w:pPr>
      <w:spacing w:line="240" w:lineRule="auto"/>
    </w:pPr>
    <w:rPr>
      <w:sz w:val="20"/>
      <w:szCs w:val="20"/>
    </w:rPr>
  </w:style>
  <w:style w:type="character" w:customStyle="1" w:styleId="CommentTextChar">
    <w:name w:val="Comment Text Char"/>
    <w:basedOn w:val="DefaultParagraphFont"/>
    <w:link w:val="CommentText"/>
    <w:uiPriority w:val="99"/>
    <w:semiHidden/>
    <w:rsid w:val="00BA0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412"/>
    <w:rPr>
      <w:b/>
      <w:bCs/>
    </w:rPr>
  </w:style>
  <w:style w:type="character" w:customStyle="1" w:styleId="CommentSubjectChar">
    <w:name w:val="Comment Subject Char"/>
    <w:basedOn w:val="CommentTextChar"/>
    <w:link w:val="CommentSubject"/>
    <w:uiPriority w:val="99"/>
    <w:semiHidden/>
    <w:rsid w:val="00BA0412"/>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BA0412"/>
    <w:pPr>
      <w:spacing w:after="100"/>
      <w:ind w:left="240"/>
    </w:pPr>
  </w:style>
  <w:style w:type="paragraph" w:styleId="TOC3">
    <w:name w:val="toc 3"/>
    <w:basedOn w:val="Normal"/>
    <w:next w:val="Normal"/>
    <w:autoRedefine/>
    <w:uiPriority w:val="39"/>
    <w:unhideWhenUsed/>
    <w:rsid w:val="00BA0412"/>
    <w:pPr>
      <w:spacing w:after="100"/>
      <w:ind w:left="480"/>
    </w:pPr>
  </w:style>
  <w:style w:type="paragraph" w:styleId="Caption">
    <w:name w:val="caption"/>
    <w:basedOn w:val="Normal"/>
    <w:next w:val="Normal"/>
    <w:qFormat/>
    <w:rsid w:val="006D1C88"/>
    <w:pPr>
      <w:spacing w:before="0" w:after="0" w:line="240" w:lineRule="auto"/>
    </w:pPr>
    <w:rPr>
      <w:rFonts w:asciiTheme="minorHAnsi" w:hAnsiTheme="minorHAnsi"/>
      <w:b/>
      <w:bCs/>
      <w:sz w:val="20"/>
      <w:szCs w:val="20"/>
    </w:rPr>
  </w:style>
  <w:style w:type="table" w:styleId="LightList-Accent1">
    <w:name w:val="Light List Accent 1"/>
    <w:basedOn w:val="TableNormal"/>
    <w:uiPriority w:val="61"/>
    <w:rsid w:val="00A07E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5A71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52540"/>
    <w:pPr>
      <w:ind w:left="720"/>
      <w:contextualSpacing/>
    </w:pPr>
  </w:style>
  <w:style w:type="paragraph" w:customStyle="1" w:styleId="Pa10">
    <w:name w:val="Pa10"/>
    <w:basedOn w:val="Normal"/>
    <w:next w:val="Normal"/>
    <w:uiPriority w:val="99"/>
    <w:rsid w:val="0004684E"/>
    <w:pPr>
      <w:autoSpaceDE w:val="0"/>
      <w:autoSpaceDN w:val="0"/>
      <w:adjustRightInd w:val="0"/>
      <w:spacing w:before="0" w:after="0" w:line="201" w:lineRule="atLeast"/>
    </w:pPr>
    <w:rPr>
      <w:rFonts w:ascii="Minion Pro" w:eastAsiaTheme="minorHAnsi" w:hAnsi="Minion Pro" w:cstheme="minorBidi"/>
    </w:rPr>
  </w:style>
  <w:style w:type="character" w:customStyle="1" w:styleId="A11">
    <w:name w:val="A11"/>
    <w:uiPriority w:val="99"/>
    <w:rsid w:val="0004684E"/>
    <w:rPr>
      <w:rFonts w:cs="Minion Pro"/>
      <w:color w:val="000000"/>
      <w:sz w:val="11"/>
      <w:szCs w:val="11"/>
    </w:rPr>
  </w:style>
  <w:style w:type="table" w:styleId="MediumShading1-Accent1">
    <w:name w:val="Medium Shading 1 Accent 1"/>
    <w:basedOn w:val="TableNormal"/>
    <w:uiPriority w:val="63"/>
    <w:rsid w:val="00A07E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7B0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
    <w:name w:val="Table Grid"/>
    <w:basedOn w:val="TableNormal"/>
    <w:uiPriority w:val="59"/>
    <w:rsid w:val="0073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52D1"/>
    <w:pPr>
      <w:pBdr>
        <w:bottom w:val="single" w:sz="8" w:space="4" w:color="4F81BD" w:themeColor="accent1"/>
      </w:pBdr>
      <w:spacing w:before="0" w:after="300" w:line="240" w:lineRule="auto"/>
      <w:contextualSpacing/>
      <w:jc w:val="left"/>
    </w:pPr>
    <w:rPr>
      <w:rFonts w:ascii="Myriad Pro" w:eastAsiaTheme="majorEastAsia" w:hAnsi="Myriad Pro" w:cstheme="majorBidi"/>
      <w:b/>
      <w:color w:val="17365D" w:themeColor="text2" w:themeShade="BF"/>
      <w:spacing w:val="5"/>
      <w:kern w:val="28"/>
      <w:sz w:val="72"/>
      <w:szCs w:val="52"/>
    </w:rPr>
  </w:style>
  <w:style w:type="character" w:customStyle="1" w:styleId="TitleChar">
    <w:name w:val="Title Char"/>
    <w:basedOn w:val="DefaultParagraphFont"/>
    <w:link w:val="Title"/>
    <w:uiPriority w:val="10"/>
    <w:rsid w:val="00CF52D1"/>
    <w:rPr>
      <w:rFonts w:ascii="Myriad Pro" w:eastAsiaTheme="majorEastAsia" w:hAnsi="Myriad Pro" w:cstheme="majorBidi"/>
      <w:b/>
      <w:color w:val="17365D" w:themeColor="text2" w:themeShade="BF"/>
      <w:spacing w:val="5"/>
      <w:kern w:val="28"/>
      <w:sz w:val="72"/>
      <w:szCs w:val="52"/>
    </w:rPr>
  </w:style>
  <w:style w:type="paragraph" w:styleId="Subtitle">
    <w:name w:val="Subtitle"/>
    <w:basedOn w:val="Normal"/>
    <w:next w:val="Normal"/>
    <w:link w:val="SubtitleChar"/>
    <w:uiPriority w:val="11"/>
    <w:qFormat/>
    <w:rsid w:val="00375F34"/>
    <w:pPr>
      <w:numPr>
        <w:ilvl w:val="1"/>
      </w:numPr>
    </w:pPr>
    <w:rPr>
      <w:rFonts w:ascii="Myriad Pro" w:eastAsiaTheme="majorEastAsia" w:hAnsi="Myriad Pro" w:cstheme="majorBidi"/>
      <w:b/>
      <w:iCs/>
      <w:color w:val="1F497D" w:themeColor="text2"/>
      <w:sz w:val="36"/>
    </w:rPr>
  </w:style>
  <w:style w:type="character" w:customStyle="1" w:styleId="SubtitleChar">
    <w:name w:val="Subtitle Char"/>
    <w:basedOn w:val="DefaultParagraphFont"/>
    <w:link w:val="Subtitle"/>
    <w:uiPriority w:val="11"/>
    <w:rsid w:val="00375F34"/>
    <w:rPr>
      <w:rFonts w:ascii="Myriad Pro" w:eastAsiaTheme="majorEastAsia" w:hAnsi="Myriad Pro" w:cstheme="majorBidi"/>
      <w:b/>
      <w:iCs/>
      <w:color w:val="1F497D" w:themeColor="text2"/>
      <w:sz w:val="36"/>
      <w:szCs w:val="24"/>
    </w:rPr>
  </w:style>
  <w:style w:type="character" w:styleId="SubtleEmphasis">
    <w:name w:val="Subtle Emphasis"/>
    <w:basedOn w:val="DefaultParagraphFont"/>
    <w:uiPriority w:val="19"/>
    <w:qFormat/>
    <w:rsid w:val="00375F34"/>
    <w:rPr>
      <w:i/>
      <w:iCs/>
      <w:color w:val="808080" w:themeColor="text1" w:themeTint="7F"/>
    </w:rPr>
  </w:style>
  <w:style w:type="paragraph" w:customStyle="1" w:styleId="FigureTitle">
    <w:name w:val="Figure Title"/>
    <w:basedOn w:val="Normal"/>
    <w:qFormat/>
    <w:rsid w:val="00B1533D"/>
    <w:pPr>
      <w:spacing w:before="240" w:line="276" w:lineRule="auto"/>
      <w:jc w:val="left"/>
    </w:pPr>
    <w:rPr>
      <w:rFonts w:ascii="Arial" w:hAnsi="Arial"/>
      <w:b/>
      <w:sz w:val="22"/>
    </w:rPr>
  </w:style>
  <w:style w:type="character" w:styleId="PageNumber">
    <w:name w:val="page number"/>
    <w:basedOn w:val="DefaultParagraphFont"/>
    <w:uiPriority w:val="99"/>
    <w:unhideWhenUsed/>
    <w:rsid w:val="00DE3EB2"/>
    <w:rPr>
      <w:rFonts w:ascii="Myriad Pro" w:hAnsi="Myriad Pro"/>
      <w:b/>
      <w:color w:val="FFFFFF" w:themeColor="background1"/>
      <w:sz w:val="24"/>
    </w:rPr>
  </w:style>
  <w:style w:type="paragraph" w:customStyle="1" w:styleId="References">
    <w:name w:val="References"/>
    <w:basedOn w:val="Normal"/>
    <w:qFormat/>
    <w:rsid w:val="00DE3EB2"/>
    <w:pPr>
      <w:ind w:left="576" w:hanging="576"/>
    </w:pPr>
  </w:style>
  <w:style w:type="paragraph" w:customStyle="1" w:styleId="Tablefooter">
    <w:name w:val="Table footer"/>
    <w:basedOn w:val="Normal"/>
    <w:qFormat/>
    <w:rsid w:val="00DE3EB2"/>
    <w:pPr>
      <w:spacing w:before="30" w:after="30" w:line="240" w:lineRule="auto"/>
    </w:pPr>
    <w:rPr>
      <w:rFonts w:ascii="Arial" w:hAnsi="Arial" w:cs="Arial"/>
      <w:sz w:val="16"/>
      <w:szCs w:val="22"/>
    </w:rPr>
  </w:style>
  <w:style w:type="paragraph" w:customStyle="1" w:styleId="Tablefooterlastline">
    <w:name w:val="Table footer last line"/>
    <w:basedOn w:val="Tablefooter"/>
    <w:qFormat/>
    <w:rsid w:val="00DE3EB2"/>
    <w:pPr>
      <w:spacing w:after="180"/>
    </w:pPr>
  </w:style>
  <w:style w:type="paragraph" w:customStyle="1" w:styleId="Tableheadercenter">
    <w:name w:val="Table header center"/>
    <w:basedOn w:val="Normal"/>
    <w:qFormat/>
    <w:rsid w:val="00134B38"/>
    <w:pPr>
      <w:keepNext/>
      <w:spacing w:before="25" w:after="25" w:line="240" w:lineRule="auto"/>
      <w:jc w:val="center"/>
    </w:pPr>
    <w:rPr>
      <w:rFonts w:ascii="Arial" w:hAnsi="Arial" w:cs="Arial"/>
      <w:b/>
      <w:color w:val="FFFFFF" w:themeColor="background1"/>
      <w:sz w:val="18"/>
      <w:szCs w:val="22"/>
    </w:rPr>
  </w:style>
  <w:style w:type="paragraph" w:customStyle="1" w:styleId="Tableheaderleft">
    <w:name w:val="Table header left"/>
    <w:basedOn w:val="Normal"/>
    <w:qFormat/>
    <w:rsid w:val="00F734D9"/>
    <w:pPr>
      <w:keepNext/>
      <w:spacing w:before="30" w:after="30" w:line="240" w:lineRule="auto"/>
      <w:jc w:val="left"/>
    </w:pPr>
    <w:rPr>
      <w:rFonts w:ascii="Arial" w:hAnsi="Arial" w:cs="Arial"/>
      <w:b/>
      <w:color w:val="FFFFFF" w:themeColor="background1"/>
      <w:sz w:val="18"/>
      <w:szCs w:val="22"/>
    </w:rPr>
  </w:style>
  <w:style w:type="paragraph" w:customStyle="1" w:styleId="Tableheaderright">
    <w:name w:val="Table header right"/>
    <w:basedOn w:val="Normal"/>
    <w:rsid w:val="00F734D9"/>
    <w:pPr>
      <w:keepNext/>
      <w:spacing w:before="30" w:after="30" w:line="240" w:lineRule="auto"/>
      <w:jc w:val="right"/>
    </w:pPr>
    <w:rPr>
      <w:rFonts w:ascii="Arial" w:hAnsi="Arial" w:cs="Arial"/>
      <w:b/>
      <w:color w:val="FFFFFF" w:themeColor="background1"/>
      <w:sz w:val="18"/>
      <w:szCs w:val="22"/>
    </w:rPr>
  </w:style>
  <w:style w:type="paragraph" w:customStyle="1" w:styleId="Tablenormalcenter">
    <w:name w:val="Table normal center"/>
    <w:basedOn w:val="Normal"/>
    <w:qFormat/>
    <w:rsid w:val="00DE3EB2"/>
    <w:pPr>
      <w:keepNext/>
      <w:spacing w:before="25" w:after="25" w:line="240" w:lineRule="auto"/>
      <w:jc w:val="center"/>
    </w:pPr>
    <w:rPr>
      <w:rFonts w:ascii="Arial" w:hAnsi="Arial"/>
      <w:sz w:val="18"/>
      <w:szCs w:val="20"/>
    </w:rPr>
  </w:style>
  <w:style w:type="paragraph" w:customStyle="1" w:styleId="Tablenormalleft">
    <w:name w:val="Table normal left"/>
    <w:basedOn w:val="Normal"/>
    <w:rsid w:val="00DE3EB2"/>
    <w:pPr>
      <w:keepNext/>
      <w:spacing w:before="25" w:after="25" w:line="240" w:lineRule="auto"/>
    </w:pPr>
    <w:rPr>
      <w:rFonts w:ascii="Arial" w:hAnsi="Arial" w:cs="Arial"/>
      <w:sz w:val="18"/>
      <w:szCs w:val="22"/>
    </w:rPr>
  </w:style>
  <w:style w:type="paragraph" w:customStyle="1" w:styleId="Tablenormalright">
    <w:name w:val="Table normal right"/>
    <w:basedOn w:val="Tablenormalleft"/>
    <w:rsid w:val="00445912"/>
    <w:pPr>
      <w:jc w:val="right"/>
    </w:pPr>
    <w:rPr>
      <w:rFonts w:cs="Times New Roman"/>
      <w:szCs w:val="20"/>
    </w:rPr>
  </w:style>
  <w:style w:type="paragraph" w:customStyle="1" w:styleId="Tablesub-heading">
    <w:name w:val="Table sub-heading"/>
    <w:basedOn w:val="Normal"/>
    <w:qFormat/>
    <w:rsid w:val="008D377E"/>
    <w:pPr>
      <w:keepNext/>
      <w:spacing w:before="25" w:after="25" w:line="240" w:lineRule="auto"/>
      <w:jc w:val="left"/>
    </w:pPr>
    <w:rPr>
      <w:rFonts w:ascii="Arial" w:hAnsi="Arial" w:cs="Arial"/>
      <w:b/>
      <w:caps/>
      <w:color w:val="1F497D" w:themeColor="text2"/>
      <w:sz w:val="16"/>
      <w:szCs w:val="22"/>
    </w:rPr>
  </w:style>
  <w:style w:type="paragraph" w:customStyle="1" w:styleId="Tabletitle">
    <w:name w:val="Table title"/>
    <w:basedOn w:val="Normal"/>
    <w:rsid w:val="00244673"/>
    <w:pPr>
      <w:keepNext/>
      <w:spacing w:before="180" w:after="24" w:line="240" w:lineRule="auto"/>
    </w:pPr>
    <w:rPr>
      <w:rFonts w:ascii="Arial" w:hAnsi="Arial" w:cs="Arial"/>
      <w:b/>
      <w:bCs/>
      <w:caps/>
      <w:color w:val="000000" w:themeColor="text1"/>
      <w:sz w:val="18"/>
    </w:rPr>
  </w:style>
  <w:style w:type="paragraph" w:customStyle="1" w:styleId="Tabletotalleft">
    <w:name w:val="Table total left"/>
    <w:basedOn w:val="Tablenormalleft"/>
    <w:qFormat/>
    <w:rsid w:val="00DE3EB2"/>
    <w:rPr>
      <w:b/>
    </w:rPr>
  </w:style>
  <w:style w:type="paragraph" w:customStyle="1" w:styleId="Tabletotalright">
    <w:name w:val="Table total right"/>
    <w:basedOn w:val="Tablenormalright"/>
    <w:qFormat/>
    <w:rsid w:val="00DE3EB2"/>
    <w:rPr>
      <w:b/>
    </w:rPr>
  </w:style>
  <w:style w:type="character" w:styleId="Emphasis">
    <w:name w:val="Emphasis"/>
    <w:basedOn w:val="DefaultParagraphFont"/>
    <w:uiPriority w:val="20"/>
    <w:qFormat/>
    <w:rsid w:val="001E0D3D"/>
    <w:rPr>
      <w:i/>
      <w:iCs/>
    </w:rPr>
  </w:style>
  <w:style w:type="paragraph" w:styleId="Revision">
    <w:name w:val="Revision"/>
    <w:hidden/>
    <w:uiPriority w:val="99"/>
    <w:semiHidden/>
    <w:rsid w:val="008E0427"/>
    <w:pPr>
      <w:spacing w:after="0" w:line="240" w:lineRule="auto"/>
    </w:pPr>
    <w:rPr>
      <w:rFonts w:ascii="Garamond" w:eastAsia="Times New Roman" w:hAnsi="Garamond" w:cs="Times New Roman"/>
      <w:sz w:val="24"/>
      <w:szCs w:val="24"/>
    </w:rPr>
  </w:style>
  <w:style w:type="character" w:styleId="PlaceholderText">
    <w:name w:val="Placeholder Text"/>
    <w:basedOn w:val="DefaultParagraphFont"/>
    <w:uiPriority w:val="99"/>
    <w:semiHidden/>
    <w:rsid w:val="00807F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436">
      <w:bodyDiv w:val="1"/>
      <w:marLeft w:val="0"/>
      <w:marRight w:val="0"/>
      <w:marTop w:val="0"/>
      <w:marBottom w:val="0"/>
      <w:divBdr>
        <w:top w:val="none" w:sz="0" w:space="0" w:color="auto"/>
        <w:left w:val="none" w:sz="0" w:space="0" w:color="auto"/>
        <w:bottom w:val="none" w:sz="0" w:space="0" w:color="auto"/>
        <w:right w:val="none" w:sz="0" w:space="0" w:color="auto"/>
      </w:divBdr>
    </w:div>
    <w:div w:id="47842998">
      <w:bodyDiv w:val="1"/>
      <w:marLeft w:val="0"/>
      <w:marRight w:val="0"/>
      <w:marTop w:val="0"/>
      <w:marBottom w:val="0"/>
      <w:divBdr>
        <w:top w:val="none" w:sz="0" w:space="0" w:color="auto"/>
        <w:left w:val="none" w:sz="0" w:space="0" w:color="auto"/>
        <w:bottom w:val="none" w:sz="0" w:space="0" w:color="auto"/>
        <w:right w:val="none" w:sz="0" w:space="0" w:color="auto"/>
      </w:divBdr>
    </w:div>
    <w:div w:id="68163145">
      <w:bodyDiv w:val="1"/>
      <w:marLeft w:val="0"/>
      <w:marRight w:val="0"/>
      <w:marTop w:val="0"/>
      <w:marBottom w:val="0"/>
      <w:divBdr>
        <w:top w:val="none" w:sz="0" w:space="0" w:color="auto"/>
        <w:left w:val="none" w:sz="0" w:space="0" w:color="auto"/>
        <w:bottom w:val="none" w:sz="0" w:space="0" w:color="auto"/>
        <w:right w:val="none" w:sz="0" w:space="0" w:color="auto"/>
      </w:divBdr>
    </w:div>
    <w:div w:id="101997714">
      <w:bodyDiv w:val="1"/>
      <w:marLeft w:val="0"/>
      <w:marRight w:val="0"/>
      <w:marTop w:val="0"/>
      <w:marBottom w:val="0"/>
      <w:divBdr>
        <w:top w:val="none" w:sz="0" w:space="0" w:color="auto"/>
        <w:left w:val="none" w:sz="0" w:space="0" w:color="auto"/>
        <w:bottom w:val="none" w:sz="0" w:space="0" w:color="auto"/>
        <w:right w:val="none" w:sz="0" w:space="0" w:color="auto"/>
      </w:divBdr>
    </w:div>
    <w:div w:id="103768850">
      <w:bodyDiv w:val="1"/>
      <w:marLeft w:val="0"/>
      <w:marRight w:val="0"/>
      <w:marTop w:val="0"/>
      <w:marBottom w:val="0"/>
      <w:divBdr>
        <w:top w:val="none" w:sz="0" w:space="0" w:color="auto"/>
        <w:left w:val="none" w:sz="0" w:space="0" w:color="auto"/>
        <w:bottom w:val="none" w:sz="0" w:space="0" w:color="auto"/>
        <w:right w:val="none" w:sz="0" w:space="0" w:color="auto"/>
      </w:divBdr>
    </w:div>
    <w:div w:id="107896126">
      <w:bodyDiv w:val="1"/>
      <w:marLeft w:val="0"/>
      <w:marRight w:val="0"/>
      <w:marTop w:val="0"/>
      <w:marBottom w:val="0"/>
      <w:divBdr>
        <w:top w:val="none" w:sz="0" w:space="0" w:color="auto"/>
        <w:left w:val="none" w:sz="0" w:space="0" w:color="auto"/>
        <w:bottom w:val="none" w:sz="0" w:space="0" w:color="auto"/>
        <w:right w:val="none" w:sz="0" w:space="0" w:color="auto"/>
      </w:divBdr>
    </w:div>
    <w:div w:id="137889287">
      <w:bodyDiv w:val="1"/>
      <w:marLeft w:val="0"/>
      <w:marRight w:val="0"/>
      <w:marTop w:val="0"/>
      <w:marBottom w:val="0"/>
      <w:divBdr>
        <w:top w:val="none" w:sz="0" w:space="0" w:color="auto"/>
        <w:left w:val="none" w:sz="0" w:space="0" w:color="auto"/>
        <w:bottom w:val="none" w:sz="0" w:space="0" w:color="auto"/>
        <w:right w:val="none" w:sz="0" w:space="0" w:color="auto"/>
      </w:divBdr>
    </w:div>
    <w:div w:id="170340995">
      <w:bodyDiv w:val="1"/>
      <w:marLeft w:val="0"/>
      <w:marRight w:val="0"/>
      <w:marTop w:val="0"/>
      <w:marBottom w:val="0"/>
      <w:divBdr>
        <w:top w:val="none" w:sz="0" w:space="0" w:color="auto"/>
        <w:left w:val="none" w:sz="0" w:space="0" w:color="auto"/>
        <w:bottom w:val="none" w:sz="0" w:space="0" w:color="auto"/>
        <w:right w:val="none" w:sz="0" w:space="0" w:color="auto"/>
      </w:divBdr>
    </w:div>
    <w:div w:id="172036427">
      <w:bodyDiv w:val="1"/>
      <w:marLeft w:val="0"/>
      <w:marRight w:val="0"/>
      <w:marTop w:val="0"/>
      <w:marBottom w:val="0"/>
      <w:divBdr>
        <w:top w:val="none" w:sz="0" w:space="0" w:color="auto"/>
        <w:left w:val="none" w:sz="0" w:space="0" w:color="auto"/>
        <w:bottom w:val="none" w:sz="0" w:space="0" w:color="auto"/>
        <w:right w:val="none" w:sz="0" w:space="0" w:color="auto"/>
      </w:divBdr>
    </w:div>
    <w:div w:id="179244826">
      <w:bodyDiv w:val="1"/>
      <w:marLeft w:val="0"/>
      <w:marRight w:val="0"/>
      <w:marTop w:val="0"/>
      <w:marBottom w:val="0"/>
      <w:divBdr>
        <w:top w:val="none" w:sz="0" w:space="0" w:color="auto"/>
        <w:left w:val="none" w:sz="0" w:space="0" w:color="auto"/>
        <w:bottom w:val="none" w:sz="0" w:space="0" w:color="auto"/>
        <w:right w:val="none" w:sz="0" w:space="0" w:color="auto"/>
      </w:divBdr>
    </w:div>
    <w:div w:id="185682523">
      <w:bodyDiv w:val="1"/>
      <w:marLeft w:val="0"/>
      <w:marRight w:val="0"/>
      <w:marTop w:val="0"/>
      <w:marBottom w:val="0"/>
      <w:divBdr>
        <w:top w:val="none" w:sz="0" w:space="0" w:color="auto"/>
        <w:left w:val="none" w:sz="0" w:space="0" w:color="auto"/>
        <w:bottom w:val="none" w:sz="0" w:space="0" w:color="auto"/>
        <w:right w:val="none" w:sz="0" w:space="0" w:color="auto"/>
      </w:divBdr>
    </w:div>
    <w:div w:id="243299714">
      <w:bodyDiv w:val="1"/>
      <w:marLeft w:val="0"/>
      <w:marRight w:val="0"/>
      <w:marTop w:val="0"/>
      <w:marBottom w:val="0"/>
      <w:divBdr>
        <w:top w:val="none" w:sz="0" w:space="0" w:color="auto"/>
        <w:left w:val="none" w:sz="0" w:space="0" w:color="auto"/>
        <w:bottom w:val="none" w:sz="0" w:space="0" w:color="auto"/>
        <w:right w:val="none" w:sz="0" w:space="0" w:color="auto"/>
      </w:divBdr>
    </w:div>
    <w:div w:id="264922477">
      <w:bodyDiv w:val="1"/>
      <w:marLeft w:val="0"/>
      <w:marRight w:val="0"/>
      <w:marTop w:val="0"/>
      <w:marBottom w:val="0"/>
      <w:divBdr>
        <w:top w:val="none" w:sz="0" w:space="0" w:color="auto"/>
        <w:left w:val="none" w:sz="0" w:space="0" w:color="auto"/>
        <w:bottom w:val="none" w:sz="0" w:space="0" w:color="auto"/>
        <w:right w:val="none" w:sz="0" w:space="0" w:color="auto"/>
      </w:divBdr>
    </w:div>
    <w:div w:id="272440891">
      <w:bodyDiv w:val="1"/>
      <w:marLeft w:val="0"/>
      <w:marRight w:val="0"/>
      <w:marTop w:val="0"/>
      <w:marBottom w:val="0"/>
      <w:divBdr>
        <w:top w:val="none" w:sz="0" w:space="0" w:color="auto"/>
        <w:left w:val="none" w:sz="0" w:space="0" w:color="auto"/>
        <w:bottom w:val="none" w:sz="0" w:space="0" w:color="auto"/>
        <w:right w:val="none" w:sz="0" w:space="0" w:color="auto"/>
      </w:divBdr>
    </w:div>
    <w:div w:id="301346038">
      <w:bodyDiv w:val="1"/>
      <w:marLeft w:val="0"/>
      <w:marRight w:val="0"/>
      <w:marTop w:val="0"/>
      <w:marBottom w:val="0"/>
      <w:divBdr>
        <w:top w:val="none" w:sz="0" w:space="0" w:color="auto"/>
        <w:left w:val="none" w:sz="0" w:space="0" w:color="auto"/>
        <w:bottom w:val="none" w:sz="0" w:space="0" w:color="auto"/>
        <w:right w:val="none" w:sz="0" w:space="0" w:color="auto"/>
      </w:divBdr>
    </w:div>
    <w:div w:id="323557369">
      <w:bodyDiv w:val="1"/>
      <w:marLeft w:val="0"/>
      <w:marRight w:val="0"/>
      <w:marTop w:val="0"/>
      <w:marBottom w:val="0"/>
      <w:divBdr>
        <w:top w:val="none" w:sz="0" w:space="0" w:color="auto"/>
        <w:left w:val="none" w:sz="0" w:space="0" w:color="auto"/>
        <w:bottom w:val="none" w:sz="0" w:space="0" w:color="auto"/>
        <w:right w:val="none" w:sz="0" w:space="0" w:color="auto"/>
      </w:divBdr>
    </w:div>
    <w:div w:id="404646511">
      <w:bodyDiv w:val="1"/>
      <w:marLeft w:val="0"/>
      <w:marRight w:val="0"/>
      <w:marTop w:val="0"/>
      <w:marBottom w:val="0"/>
      <w:divBdr>
        <w:top w:val="none" w:sz="0" w:space="0" w:color="auto"/>
        <w:left w:val="none" w:sz="0" w:space="0" w:color="auto"/>
        <w:bottom w:val="none" w:sz="0" w:space="0" w:color="auto"/>
        <w:right w:val="none" w:sz="0" w:space="0" w:color="auto"/>
      </w:divBdr>
    </w:div>
    <w:div w:id="415251475">
      <w:bodyDiv w:val="1"/>
      <w:marLeft w:val="0"/>
      <w:marRight w:val="0"/>
      <w:marTop w:val="0"/>
      <w:marBottom w:val="0"/>
      <w:divBdr>
        <w:top w:val="none" w:sz="0" w:space="0" w:color="auto"/>
        <w:left w:val="none" w:sz="0" w:space="0" w:color="auto"/>
        <w:bottom w:val="none" w:sz="0" w:space="0" w:color="auto"/>
        <w:right w:val="none" w:sz="0" w:space="0" w:color="auto"/>
      </w:divBdr>
    </w:div>
    <w:div w:id="438334633">
      <w:bodyDiv w:val="1"/>
      <w:marLeft w:val="0"/>
      <w:marRight w:val="0"/>
      <w:marTop w:val="0"/>
      <w:marBottom w:val="0"/>
      <w:divBdr>
        <w:top w:val="none" w:sz="0" w:space="0" w:color="auto"/>
        <w:left w:val="none" w:sz="0" w:space="0" w:color="auto"/>
        <w:bottom w:val="none" w:sz="0" w:space="0" w:color="auto"/>
        <w:right w:val="none" w:sz="0" w:space="0" w:color="auto"/>
      </w:divBdr>
    </w:div>
    <w:div w:id="472142421">
      <w:bodyDiv w:val="1"/>
      <w:marLeft w:val="0"/>
      <w:marRight w:val="0"/>
      <w:marTop w:val="0"/>
      <w:marBottom w:val="0"/>
      <w:divBdr>
        <w:top w:val="none" w:sz="0" w:space="0" w:color="auto"/>
        <w:left w:val="none" w:sz="0" w:space="0" w:color="auto"/>
        <w:bottom w:val="none" w:sz="0" w:space="0" w:color="auto"/>
        <w:right w:val="none" w:sz="0" w:space="0" w:color="auto"/>
      </w:divBdr>
    </w:div>
    <w:div w:id="498808376">
      <w:bodyDiv w:val="1"/>
      <w:marLeft w:val="0"/>
      <w:marRight w:val="0"/>
      <w:marTop w:val="0"/>
      <w:marBottom w:val="0"/>
      <w:divBdr>
        <w:top w:val="none" w:sz="0" w:space="0" w:color="auto"/>
        <w:left w:val="none" w:sz="0" w:space="0" w:color="auto"/>
        <w:bottom w:val="none" w:sz="0" w:space="0" w:color="auto"/>
        <w:right w:val="none" w:sz="0" w:space="0" w:color="auto"/>
      </w:divBdr>
    </w:div>
    <w:div w:id="599409927">
      <w:bodyDiv w:val="1"/>
      <w:marLeft w:val="0"/>
      <w:marRight w:val="0"/>
      <w:marTop w:val="0"/>
      <w:marBottom w:val="0"/>
      <w:divBdr>
        <w:top w:val="none" w:sz="0" w:space="0" w:color="auto"/>
        <w:left w:val="none" w:sz="0" w:space="0" w:color="auto"/>
        <w:bottom w:val="none" w:sz="0" w:space="0" w:color="auto"/>
        <w:right w:val="none" w:sz="0" w:space="0" w:color="auto"/>
      </w:divBdr>
    </w:div>
    <w:div w:id="602306100">
      <w:bodyDiv w:val="1"/>
      <w:marLeft w:val="0"/>
      <w:marRight w:val="0"/>
      <w:marTop w:val="0"/>
      <w:marBottom w:val="0"/>
      <w:divBdr>
        <w:top w:val="none" w:sz="0" w:space="0" w:color="auto"/>
        <w:left w:val="none" w:sz="0" w:space="0" w:color="auto"/>
        <w:bottom w:val="none" w:sz="0" w:space="0" w:color="auto"/>
        <w:right w:val="none" w:sz="0" w:space="0" w:color="auto"/>
      </w:divBdr>
    </w:div>
    <w:div w:id="608241346">
      <w:bodyDiv w:val="1"/>
      <w:marLeft w:val="0"/>
      <w:marRight w:val="0"/>
      <w:marTop w:val="0"/>
      <w:marBottom w:val="0"/>
      <w:divBdr>
        <w:top w:val="none" w:sz="0" w:space="0" w:color="auto"/>
        <w:left w:val="none" w:sz="0" w:space="0" w:color="auto"/>
        <w:bottom w:val="none" w:sz="0" w:space="0" w:color="auto"/>
        <w:right w:val="none" w:sz="0" w:space="0" w:color="auto"/>
      </w:divBdr>
    </w:div>
    <w:div w:id="621957067">
      <w:bodyDiv w:val="1"/>
      <w:marLeft w:val="0"/>
      <w:marRight w:val="0"/>
      <w:marTop w:val="0"/>
      <w:marBottom w:val="0"/>
      <w:divBdr>
        <w:top w:val="none" w:sz="0" w:space="0" w:color="auto"/>
        <w:left w:val="none" w:sz="0" w:space="0" w:color="auto"/>
        <w:bottom w:val="none" w:sz="0" w:space="0" w:color="auto"/>
        <w:right w:val="none" w:sz="0" w:space="0" w:color="auto"/>
      </w:divBdr>
    </w:div>
    <w:div w:id="629551923">
      <w:bodyDiv w:val="1"/>
      <w:marLeft w:val="0"/>
      <w:marRight w:val="0"/>
      <w:marTop w:val="0"/>
      <w:marBottom w:val="0"/>
      <w:divBdr>
        <w:top w:val="none" w:sz="0" w:space="0" w:color="auto"/>
        <w:left w:val="none" w:sz="0" w:space="0" w:color="auto"/>
        <w:bottom w:val="none" w:sz="0" w:space="0" w:color="auto"/>
        <w:right w:val="none" w:sz="0" w:space="0" w:color="auto"/>
      </w:divBdr>
    </w:div>
    <w:div w:id="640618015">
      <w:bodyDiv w:val="1"/>
      <w:marLeft w:val="0"/>
      <w:marRight w:val="0"/>
      <w:marTop w:val="0"/>
      <w:marBottom w:val="0"/>
      <w:divBdr>
        <w:top w:val="none" w:sz="0" w:space="0" w:color="auto"/>
        <w:left w:val="none" w:sz="0" w:space="0" w:color="auto"/>
        <w:bottom w:val="none" w:sz="0" w:space="0" w:color="auto"/>
        <w:right w:val="none" w:sz="0" w:space="0" w:color="auto"/>
      </w:divBdr>
    </w:div>
    <w:div w:id="691106448">
      <w:bodyDiv w:val="1"/>
      <w:marLeft w:val="0"/>
      <w:marRight w:val="0"/>
      <w:marTop w:val="0"/>
      <w:marBottom w:val="0"/>
      <w:divBdr>
        <w:top w:val="none" w:sz="0" w:space="0" w:color="auto"/>
        <w:left w:val="none" w:sz="0" w:space="0" w:color="auto"/>
        <w:bottom w:val="none" w:sz="0" w:space="0" w:color="auto"/>
        <w:right w:val="none" w:sz="0" w:space="0" w:color="auto"/>
      </w:divBdr>
    </w:div>
    <w:div w:id="691612607">
      <w:bodyDiv w:val="1"/>
      <w:marLeft w:val="0"/>
      <w:marRight w:val="0"/>
      <w:marTop w:val="0"/>
      <w:marBottom w:val="0"/>
      <w:divBdr>
        <w:top w:val="none" w:sz="0" w:space="0" w:color="auto"/>
        <w:left w:val="none" w:sz="0" w:space="0" w:color="auto"/>
        <w:bottom w:val="none" w:sz="0" w:space="0" w:color="auto"/>
        <w:right w:val="none" w:sz="0" w:space="0" w:color="auto"/>
      </w:divBdr>
    </w:div>
    <w:div w:id="734163717">
      <w:bodyDiv w:val="1"/>
      <w:marLeft w:val="0"/>
      <w:marRight w:val="0"/>
      <w:marTop w:val="0"/>
      <w:marBottom w:val="0"/>
      <w:divBdr>
        <w:top w:val="none" w:sz="0" w:space="0" w:color="auto"/>
        <w:left w:val="none" w:sz="0" w:space="0" w:color="auto"/>
        <w:bottom w:val="none" w:sz="0" w:space="0" w:color="auto"/>
        <w:right w:val="none" w:sz="0" w:space="0" w:color="auto"/>
      </w:divBdr>
    </w:div>
    <w:div w:id="741756240">
      <w:bodyDiv w:val="1"/>
      <w:marLeft w:val="0"/>
      <w:marRight w:val="0"/>
      <w:marTop w:val="0"/>
      <w:marBottom w:val="0"/>
      <w:divBdr>
        <w:top w:val="none" w:sz="0" w:space="0" w:color="auto"/>
        <w:left w:val="none" w:sz="0" w:space="0" w:color="auto"/>
        <w:bottom w:val="none" w:sz="0" w:space="0" w:color="auto"/>
        <w:right w:val="none" w:sz="0" w:space="0" w:color="auto"/>
      </w:divBdr>
    </w:div>
    <w:div w:id="754588606">
      <w:bodyDiv w:val="1"/>
      <w:marLeft w:val="0"/>
      <w:marRight w:val="0"/>
      <w:marTop w:val="0"/>
      <w:marBottom w:val="0"/>
      <w:divBdr>
        <w:top w:val="none" w:sz="0" w:space="0" w:color="auto"/>
        <w:left w:val="none" w:sz="0" w:space="0" w:color="auto"/>
        <w:bottom w:val="none" w:sz="0" w:space="0" w:color="auto"/>
        <w:right w:val="none" w:sz="0" w:space="0" w:color="auto"/>
      </w:divBdr>
    </w:div>
    <w:div w:id="778910597">
      <w:bodyDiv w:val="1"/>
      <w:marLeft w:val="0"/>
      <w:marRight w:val="0"/>
      <w:marTop w:val="0"/>
      <w:marBottom w:val="0"/>
      <w:divBdr>
        <w:top w:val="none" w:sz="0" w:space="0" w:color="auto"/>
        <w:left w:val="none" w:sz="0" w:space="0" w:color="auto"/>
        <w:bottom w:val="none" w:sz="0" w:space="0" w:color="auto"/>
        <w:right w:val="none" w:sz="0" w:space="0" w:color="auto"/>
      </w:divBdr>
    </w:div>
    <w:div w:id="780806538">
      <w:bodyDiv w:val="1"/>
      <w:marLeft w:val="0"/>
      <w:marRight w:val="0"/>
      <w:marTop w:val="0"/>
      <w:marBottom w:val="0"/>
      <w:divBdr>
        <w:top w:val="none" w:sz="0" w:space="0" w:color="auto"/>
        <w:left w:val="none" w:sz="0" w:space="0" w:color="auto"/>
        <w:bottom w:val="none" w:sz="0" w:space="0" w:color="auto"/>
        <w:right w:val="none" w:sz="0" w:space="0" w:color="auto"/>
      </w:divBdr>
    </w:div>
    <w:div w:id="794836867">
      <w:bodyDiv w:val="1"/>
      <w:marLeft w:val="0"/>
      <w:marRight w:val="0"/>
      <w:marTop w:val="0"/>
      <w:marBottom w:val="0"/>
      <w:divBdr>
        <w:top w:val="none" w:sz="0" w:space="0" w:color="auto"/>
        <w:left w:val="none" w:sz="0" w:space="0" w:color="auto"/>
        <w:bottom w:val="none" w:sz="0" w:space="0" w:color="auto"/>
        <w:right w:val="none" w:sz="0" w:space="0" w:color="auto"/>
      </w:divBdr>
    </w:div>
    <w:div w:id="805320283">
      <w:bodyDiv w:val="1"/>
      <w:marLeft w:val="0"/>
      <w:marRight w:val="0"/>
      <w:marTop w:val="0"/>
      <w:marBottom w:val="0"/>
      <w:divBdr>
        <w:top w:val="none" w:sz="0" w:space="0" w:color="auto"/>
        <w:left w:val="none" w:sz="0" w:space="0" w:color="auto"/>
        <w:bottom w:val="none" w:sz="0" w:space="0" w:color="auto"/>
        <w:right w:val="none" w:sz="0" w:space="0" w:color="auto"/>
      </w:divBdr>
    </w:div>
    <w:div w:id="809052658">
      <w:bodyDiv w:val="1"/>
      <w:marLeft w:val="0"/>
      <w:marRight w:val="0"/>
      <w:marTop w:val="0"/>
      <w:marBottom w:val="0"/>
      <w:divBdr>
        <w:top w:val="none" w:sz="0" w:space="0" w:color="auto"/>
        <w:left w:val="none" w:sz="0" w:space="0" w:color="auto"/>
        <w:bottom w:val="none" w:sz="0" w:space="0" w:color="auto"/>
        <w:right w:val="none" w:sz="0" w:space="0" w:color="auto"/>
      </w:divBdr>
    </w:div>
    <w:div w:id="827939068">
      <w:bodyDiv w:val="1"/>
      <w:marLeft w:val="0"/>
      <w:marRight w:val="0"/>
      <w:marTop w:val="0"/>
      <w:marBottom w:val="0"/>
      <w:divBdr>
        <w:top w:val="none" w:sz="0" w:space="0" w:color="auto"/>
        <w:left w:val="none" w:sz="0" w:space="0" w:color="auto"/>
        <w:bottom w:val="none" w:sz="0" w:space="0" w:color="auto"/>
        <w:right w:val="none" w:sz="0" w:space="0" w:color="auto"/>
      </w:divBdr>
    </w:div>
    <w:div w:id="850920237">
      <w:bodyDiv w:val="1"/>
      <w:marLeft w:val="0"/>
      <w:marRight w:val="0"/>
      <w:marTop w:val="0"/>
      <w:marBottom w:val="0"/>
      <w:divBdr>
        <w:top w:val="none" w:sz="0" w:space="0" w:color="auto"/>
        <w:left w:val="none" w:sz="0" w:space="0" w:color="auto"/>
        <w:bottom w:val="none" w:sz="0" w:space="0" w:color="auto"/>
        <w:right w:val="none" w:sz="0" w:space="0" w:color="auto"/>
      </w:divBdr>
    </w:div>
    <w:div w:id="856579188">
      <w:bodyDiv w:val="1"/>
      <w:marLeft w:val="0"/>
      <w:marRight w:val="0"/>
      <w:marTop w:val="0"/>
      <w:marBottom w:val="0"/>
      <w:divBdr>
        <w:top w:val="none" w:sz="0" w:space="0" w:color="auto"/>
        <w:left w:val="none" w:sz="0" w:space="0" w:color="auto"/>
        <w:bottom w:val="none" w:sz="0" w:space="0" w:color="auto"/>
        <w:right w:val="none" w:sz="0" w:space="0" w:color="auto"/>
      </w:divBdr>
    </w:div>
    <w:div w:id="869227740">
      <w:bodyDiv w:val="1"/>
      <w:marLeft w:val="0"/>
      <w:marRight w:val="0"/>
      <w:marTop w:val="0"/>
      <w:marBottom w:val="0"/>
      <w:divBdr>
        <w:top w:val="none" w:sz="0" w:space="0" w:color="auto"/>
        <w:left w:val="none" w:sz="0" w:space="0" w:color="auto"/>
        <w:bottom w:val="none" w:sz="0" w:space="0" w:color="auto"/>
        <w:right w:val="none" w:sz="0" w:space="0" w:color="auto"/>
      </w:divBdr>
    </w:div>
    <w:div w:id="872229743">
      <w:bodyDiv w:val="1"/>
      <w:marLeft w:val="0"/>
      <w:marRight w:val="0"/>
      <w:marTop w:val="0"/>
      <w:marBottom w:val="0"/>
      <w:divBdr>
        <w:top w:val="none" w:sz="0" w:space="0" w:color="auto"/>
        <w:left w:val="none" w:sz="0" w:space="0" w:color="auto"/>
        <w:bottom w:val="none" w:sz="0" w:space="0" w:color="auto"/>
        <w:right w:val="none" w:sz="0" w:space="0" w:color="auto"/>
      </w:divBdr>
    </w:div>
    <w:div w:id="893732952">
      <w:bodyDiv w:val="1"/>
      <w:marLeft w:val="0"/>
      <w:marRight w:val="0"/>
      <w:marTop w:val="0"/>
      <w:marBottom w:val="0"/>
      <w:divBdr>
        <w:top w:val="none" w:sz="0" w:space="0" w:color="auto"/>
        <w:left w:val="none" w:sz="0" w:space="0" w:color="auto"/>
        <w:bottom w:val="none" w:sz="0" w:space="0" w:color="auto"/>
        <w:right w:val="none" w:sz="0" w:space="0" w:color="auto"/>
      </w:divBdr>
    </w:div>
    <w:div w:id="947155599">
      <w:bodyDiv w:val="1"/>
      <w:marLeft w:val="0"/>
      <w:marRight w:val="0"/>
      <w:marTop w:val="0"/>
      <w:marBottom w:val="0"/>
      <w:divBdr>
        <w:top w:val="none" w:sz="0" w:space="0" w:color="auto"/>
        <w:left w:val="none" w:sz="0" w:space="0" w:color="auto"/>
        <w:bottom w:val="none" w:sz="0" w:space="0" w:color="auto"/>
        <w:right w:val="none" w:sz="0" w:space="0" w:color="auto"/>
      </w:divBdr>
    </w:div>
    <w:div w:id="981154045">
      <w:bodyDiv w:val="1"/>
      <w:marLeft w:val="0"/>
      <w:marRight w:val="0"/>
      <w:marTop w:val="0"/>
      <w:marBottom w:val="0"/>
      <w:divBdr>
        <w:top w:val="none" w:sz="0" w:space="0" w:color="auto"/>
        <w:left w:val="none" w:sz="0" w:space="0" w:color="auto"/>
        <w:bottom w:val="none" w:sz="0" w:space="0" w:color="auto"/>
        <w:right w:val="none" w:sz="0" w:space="0" w:color="auto"/>
      </w:divBdr>
    </w:div>
    <w:div w:id="1007488196">
      <w:bodyDiv w:val="1"/>
      <w:marLeft w:val="0"/>
      <w:marRight w:val="0"/>
      <w:marTop w:val="0"/>
      <w:marBottom w:val="0"/>
      <w:divBdr>
        <w:top w:val="none" w:sz="0" w:space="0" w:color="auto"/>
        <w:left w:val="none" w:sz="0" w:space="0" w:color="auto"/>
        <w:bottom w:val="none" w:sz="0" w:space="0" w:color="auto"/>
        <w:right w:val="none" w:sz="0" w:space="0" w:color="auto"/>
      </w:divBdr>
    </w:div>
    <w:div w:id="1010372646">
      <w:bodyDiv w:val="1"/>
      <w:marLeft w:val="0"/>
      <w:marRight w:val="0"/>
      <w:marTop w:val="0"/>
      <w:marBottom w:val="0"/>
      <w:divBdr>
        <w:top w:val="none" w:sz="0" w:space="0" w:color="auto"/>
        <w:left w:val="none" w:sz="0" w:space="0" w:color="auto"/>
        <w:bottom w:val="none" w:sz="0" w:space="0" w:color="auto"/>
        <w:right w:val="none" w:sz="0" w:space="0" w:color="auto"/>
      </w:divBdr>
    </w:div>
    <w:div w:id="1019962666">
      <w:bodyDiv w:val="1"/>
      <w:marLeft w:val="0"/>
      <w:marRight w:val="0"/>
      <w:marTop w:val="0"/>
      <w:marBottom w:val="0"/>
      <w:divBdr>
        <w:top w:val="none" w:sz="0" w:space="0" w:color="auto"/>
        <w:left w:val="none" w:sz="0" w:space="0" w:color="auto"/>
        <w:bottom w:val="none" w:sz="0" w:space="0" w:color="auto"/>
        <w:right w:val="none" w:sz="0" w:space="0" w:color="auto"/>
      </w:divBdr>
    </w:div>
    <w:div w:id="1037004048">
      <w:bodyDiv w:val="1"/>
      <w:marLeft w:val="0"/>
      <w:marRight w:val="0"/>
      <w:marTop w:val="0"/>
      <w:marBottom w:val="0"/>
      <w:divBdr>
        <w:top w:val="none" w:sz="0" w:space="0" w:color="auto"/>
        <w:left w:val="none" w:sz="0" w:space="0" w:color="auto"/>
        <w:bottom w:val="none" w:sz="0" w:space="0" w:color="auto"/>
        <w:right w:val="none" w:sz="0" w:space="0" w:color="auto"/>
      </w:divBdr>
    </w:div>
    <w:div w:id="1039478369">
      <w:bodyDiv w:val="1"/>
      <w:marLeft w:val="0"/>
      <w:marRight w:val="0"/>
      <w:marTop w:val="0"/>
      <w:marBottom w:val="0"/>
      <w:divBdr>
        <w:top w:val="none" w:sz="0" w:space="0" w:color="auto"/>
        <w:left w:val="none" w:sz="0" w:space="0" w:color="auto"/>
        <w:bottom w:val="none" w:sz="0" w:space="0" w:color="auto"/>
        <w:right w:val="none" w:sz="0" w:space="0" w:color="auto"/>
      </w:divBdr>
    </w:div>
    <w:div w:id="1048184705">
      <w:bodyDiv w:val="1"/>
      <w:marLeft w:val="0"/>
      <w:marRight w:val="0"/>
      <w:marTop w:val="0"/>
      <w:marBottom w:val="0"/>
      <w:divBdr>
        <w:top w:val="none" w:sz="0" w:space="0" w:color="auto"/>
        <w:left w:val="none" w:sz="0" w:space="0" w:color="auto"/>
        <w:bottom w:val="none" w:sz="0" w:space="0" w:color="auto"/>
        <w:right w:val="none" w:sz="0" w:space="0" w:color="auto"/>
      </w:divBdr>
    </w:div>
    <w:div w:id="1053507115">
      <w:bodyDiv w:val="1"/>
      <w:marLeft w:val="0"/>
      <w:marRight w:val="0"/>
      <w:marTop w:val="0"/>
      <w:marBottom w:val="0"/>
      <w:divBdr>
        <w:top w:val="none" w:sz="0" w:space="0" w:color="auto"/>
        <w:left w:val="none" w:sz="0" w:space="0" w:color="auto"/>
        <w:bottom w:val="none" w:sz="0" w:space="0" w:color="auto"/>
        <w:right w:val="none" w:sz="0" w:space="0" w:color="auto"/>
      </w:divBdr>
    </w:div>
    <w:div w:id="1082412926">
      <w:bodyDiv w:val="1"/>
      <w:marLeft w:val="0"/>
      <w:marRight w:val="0"/>
      <w:marTop w:val="0"/>
      <w:marBottom w:val="0"/>
      <w:divBdr>
        <w:top w:val="none" w:sz="0" w:space="0" w:color="auto"/>
        <w:left w:val="none" w:sz="0" w:space="0" w:color="auto"/>
        <w:bottom w:val="none" w:sz="0" w:space="0" w:color="auto"/>
        <w:right w:val="none" w:sz="0" w:space="0" w:color="auto"/>
      </w:divBdr>
    </w:div>
    <w:div w:id="1083839969">
      <w:bodyDiv w:val="1"/>
      <w:marLeft w:val="0"/>
      <w:marRight w:val="0"/>
      <w:marTop w:val="0"/>
      <w:marBottom w:val="0"/>
      <w:divBdr>
        <w:top w:val="none" w:sz="0" w:space="0" w:color="auto"/>
        <w:left w:val="none" w:sz="0" w:space="0" w:color="auto"/>
        <w:bottom w:val="none" w:sz="0" w:space="0" w:color="auto"/>
        <w:right w:val="none" w:sz="0" w:space="0" w:color="auto"/>
      </w:divBdr>
    </w:div>
    <w:div w:id="1089274720">
      <w:bodyDiv w:val="1"/>
      <w:marLeft w:val="0"/>
      <w:marRight w:val="0"/>
      <w:marTop w:val="0"/>
      <w:marBottom w:val="0"/>
      <w:divBdr>
        <w:top w:val="none" w:sz="0" w:space="0" w:color="auto"/>
        <w:left w:val="none" w:sz="0" w:space="0" w:color="auto"/>
        <w:bottom w:val="none" w:sz="0" w:space="0" w:color="auto"/>
        <w:right w:val="none" w:sz="0" w:space="0" w:color="auto"/>
      </w:divBdr>
    </w:div>
    <w:div w:id="1090738113">
      <w:bodyDiv w:val="1"/>
      <w:marLeft w:val="0"/>
      <w:marRight w:val="0"/>
      <w:marTop w:val="0"/>
      <w:marBottom w:val="0"/>
      <w:divBdr>
        <w:top w:val="none" w:sz="0" w:space="0" w:color="auto"/>
        <w:left w:val="none" w:sz="0" w:space="0" w:color="auto"/>
        <w:bottom w:val="none" w:sz="0" w:space="0" w:color="auto"/>
        <w:right w:val="none" w:sz="0" w:space="0" w:color="auto"/>
      </w:divBdr>
    </w:div>
    <w:div w:id="1093009994">
      <w:bodyDiv w:val="1"/>
      <w:marLeft w:val="0"/>
      <w:marRight w:val="0"/>
      <w:marTop w:val="0"/>
      <w:marBottom w:val="0"/>
      <w:divBdr>
        <w:top w:val="none" w:sz="0" w:space="0" w:color="auto"/>
        <w:left w:val="none" w:sz="0" w:space="0" w:color="auto"/>
        <w:bottom w:val="none" w:sz="0" w:space="0" w:color="auto"/>
        <w:right w:val="none" w:sz="0" w:space="0" w:color="auto"/>
      </w:divBdr>
    </w:div>
    <w:div w:id="1106538006">
      <w:bodyDiv w:val="1"/>
      <w:marLeft w:val="0"/>
      <w:marRight w:val="0"/>
      <w:marTop w:val="0"/>
      <w:marBottom w:val="0"/>
      <w:divBdr>
        <w:top w:val="none" w:sz="0" w:space="0" w:color="auto"/>
        <w:left w:val="none" w:sz="0" w:space="0" w:color="auto"/>
        <w:bottom w:val="none" w:sz="0" w:space="0" w:color="auto"/>
        <w:right w:val="none" w:sz="0" w:space="0" w:color="auto"/>
      </w:divBdr>
    </w:div>
    <w:div w:id="1121992554">
      <w:bodyDiv w:val="1"/>
      <w:marLeft w:val="0"/>
      <w:marRight w:val="0"/>
      <w:marTop w:val="0"/>
      <w:marBottom w:val="0"/>
      <w:divBdr>
        <w:top w:val="none" w:sz="0" w:space="0" w:color="auto"/>
        <w:left w:val="none" w:sz="0" w:space="0" w:color="auto"/>
        <w:bottom w:val="none" w:sz="0" w:space="0" w:color="auto"/>
        <w:right w:val="none" w:sz="0" w:space="0" w:color="auto"/>
      </w:divBdr>
    </w:div>
    <w:div w:id="1131098875">
      <w:bodyDiv w:val="1"/>
      <w:marLeft w:val="0"/>
      <w:marRight w:val="0"/>
      <w:marTop w:val="0"/>
      <w:marBottom w:val="0"/>
      <w:divBdr>
        <w:top w:val="none" w:sz="0" w:space="0" w:color="auto"/>
        <w:left w:val="none" w:sz="0" w:space="0" w:color="auto"/>
        <w:bottom w:val="none" w:sz="0" w:space="0" w:color="auto"/>
        <w:right w:val="none" w:sz="0" w:space="0" w:color="auto"/>
      </w:divBdr>
    </w:div>
    <w:div w:id="1135290150">
      <w:bodyDiv w:val="1"/>
      <w:marLeft w:val="0"/>
      <w:marRight w:val="0"/>
      <w:marTop w:val="0"/>
      <w:marBottom w:val="0"/>
      <w:divBdr>
        <w:top w:val="none" w:sz="0" w:space="0" w:color="auto"/>
        <w:left w:val="none" w:sz="0" w:space="0" w:color="auto"/>
        <w:bottom w:val="none" w:sz="0" w:space="0" w:color="auto"/>
        <w:right w:val="none" w:sz="0" w:space="0" w:color="auto"/>
      </w:divBdr>
    </w:div>
    <w:div w:id="1149785293">
      <w:bodyDiv w:val="1"/>
      <w:marLeft w:val="0"/>
      <w:marRight w:val="0"/>
      <w:marTop w:val="0"/>
      <w:marBottom w:val="0"/>
      <w:divBdr>
        <w:top w:val="none" w:sz="0" w:space="0" w:color="auto"/>
        <w:left w:val="none" w:sz="0" w:space="0" w:color="auto"/>
        <w:bottom w:val="none" w:sz="0" w:space="0" w:color="auto"/>
        <w:right w:val="none" w:sz="0" w:space="0" w:color="auto"/>
      </w:divBdr>
    </w:div>
    <w:div w:id="1162308995">
      <w:bodyDiv w:val="1"/>
      <w:marLeft w:val="0"/>
      <w:marRight w:val="0"/>
      <w:marTop w:val="0"/>
      <w:marBottom w:val="0"/>
      <w:divBdr>
        <w:top w:val="none" w:sz="0" w:space="0" w:color="auto"/>
        <w:left w:val="none" w:sz="0" w:space="0" w:color="auto"/>
        <w:bottom w:val="none" w:sz="0" w:space="0" w:color="auto"/>
        <w:right w:val="none" w:sz="0" w:space="0" w:color="auto"/>
      </w:divBdr>
    </w:div>
    <w:div w:id="1210994728">
      <w:bodyDiv w:val="1"/>
      <w:marLeft w:val="0"/>
      <w:marRight w:val="0"/>
      <w:marTop w:val="0"/>
      <w:marBottom w:val="0"/>
      <w:divBdr>
        <w:top w:val="none" w:sz="0" w:space="0" w:color="auto"/>
        <w:left w:val="none" w:sz="0" w:space="0" w:color="auto"/>
        <w:bottom w:val="none" w:sz="0" w:space="0" w:color="auto"/>
        <w:right w:val="none" w:sz="0" w:space="0" w:color="auto"/>
      </w:divBdr>
    </w:div>
    <w:div w:id="1215779525">
      <w:bodyDiv w:val="1"/>
      <w:marLeft w:val="0"/>
      <w:marRight w:val="0"/>
      <w:marTop w:val="0"/>
      <w:marBottom w:val="0"/>
      <w:divBdr>
        <w:top w:val="none" w:sz="0" w:space="0" w:color="auto"/>
        <w:left w:val="none" w:sz="0" w:space="0" w:color="auto"/>
        <w:bottom w:val="none" w:sz="0" w:space="0" w:color="auto"/>
        <w:right w:val="none" w:sz="0" w:space="0" w:color="auto"/>
      </w:divBdr>
    </w:div>
    <w:div w:id="1232496311">
      <w:bodyDiv w:val="1"/>
      <w:marLeft w:val="0"/>
      <w:marRight w:val="0"/>
      <w:marTop w:val="0"/>
      <w:marBottom w:val="0"/>
      <w:divBdr>
        <w:top w:val="none" w:sz="0" w:space="0" w:color="auto"/>
        <w:left w:val="none" w:sz="0" w:space="0" w:color="auto"/>
        <w:bottom w:val="none" w:sz="0" w:space="0" w:color="auto"/>
        <w:right w:val="none" w:sz="0" w:space="0" w:color="auto"/>
      </w:divBdr>
    </w:div>
    <w:div w:id="1249191736">
      <w:bodyDiv w:val="1"/>
      <w:marLeft w:val="0"/>
      <w:marRight w:val="0"/>
      <w:marTop w:val="0"/>
      <w:marBottom w:val="0"/>
      <w:divBdr>
        <w:top w:val="none" w:sz="0" w:space="0" w:color="auto"/>
        <w:left w:val="none" w:sz="0" w:space="0" w:color="auto"/>
        <w:bottom w:val="none" w:sz="0" w:space="0" w:color="auto"/>
        <w:right w:val="none" w:sz="0" w:space="0" w:color="auto"/>
      </w:divBdr>
    </w:div>
    <w:div w:id="1283264527">
      <w:bodyDiv w:val="1"/>
      <w:marLeft w:val="0"/>
      <w:marRight w:val="0"/>
      <w:marTop w:val="0"/>
      <w:marBottom w:val="0"/>
      <w:divBdr>
        <w:top w:val="none" w:sz="0" w:space="0" w:color="auto"/>
        <w:left w:val="none" w:sz="0" w:space="0" w:color="auto"/>
        <w:bottom w:val="none" w:sz="0" w:space="0" w:color="auto"/>
        <w:right w:val="none" w:sz="0" w:space="0" w:color="auto"/>
      </w:divBdr>
    </w:div>
    <w:div w:id="1322848209">
      <w:bodyDiv w:val="1"/>
      <w:marLeft w:val="0"/>
      <w:marRight w:val="0"/>
      <w:marTop w:val="0"/>
      <w:marBottom w:val="0"/>
      <w:divBdr>
        <w:top w:val="none" w:sz="0" w:space="0" w:color="auto"/>
        <w:left w:val="none" w:sz="0" w:space="0" w:color="auto"/>
        <w:bottom w:val="none" w:sz="0" w:space="0" w:color="auto"/>
        <w:right w:val="none" w:sz="0" w:space="0" w:color="auto"/>
      </w:divBdr>
    </w:div>
    <w:div w:id="1366055649">
      <w:bodyDiv w:val="1"/>
      <w:marLeft w:val="0"/>
      <w:marRight w:val="0"/>
      <w:marTop w:val="0"/>
      <w:marBottom w:val="0"/>
      <w:divBdr>
        <w:top w:val="none" w:sz="0" w:space="0" w:color="auto"/>
        <w:left w:val="none" w:sz="0" w:space="0" w:color="auto"/>
        <w:bottom w:val="none" w:sz="0" w:space="0" w:color="auto"/>
        <w:right w:val="none" w:sz="0" w:space="0" w:color="auto"/>
      </w:divBdr>
    </w:div>
    <w:div w:id="1373579584">
      <w:bodyDiv w:val="1"/>
      <w:marLeft w:val="0"/>
      <w:marRight w:val="0"/>
      <w:marTop w:val="0"/>
      <w:marBottom w:val="0"/>
      <w:divBdr>
        <w:top w:val="none" w:sz="0" w:space="0" w:color="auto"/>
        <w:left w:val="none" w:sz="0" w:space="0" w:color="auto"/>
        <w:bottom w:val="none" w:sz="0" w:space="0" w:color="auto"/>
        <w:right w:val="none" w:sz="0" w:space="0" w:color="auto"/>
      </w:divBdr>
    </w:div>
    <w:div w:id="1396584034">
      <w:bodyDiv w:val="1"/>
      <w:marLeft w:val="0"/>
      <w:marRight w:val="0"/>
      <w:marTop w:val="0"/>
      <w:marBottom w:val="0"/>
      <w:divBdr>
        <w:top w:val="none" w:sz="0" w:space="0" w:color="auto"/>
        <w:left w:val="none" w:sz="0" w:space="0" w:color="auto"/>
        <w:bottom w:val="none" w:sz="0" w:space="0" w:color="auto"/>
        <w:right w:val="none" w:sz="0" w:space="0" w:color="auto"/>
      </w:divBdr>
    </w:div>
    <w:div w:id="1403022482">
      <w:bodyDiv w:val="1"/>
      <w:marLeft w:val="0"/>
      <w:marRight w:val="0"/>
      <w:marTop w:val="0"/>
      <w:marBottom w:val="0"/>
      <w:divBdr>
        <w:top w:val="none" w:sz="0" w:space="0" w:color="auto"/>
        <w:left w:val="none" w:sz="0" w:space="0" w:color="auto"/>
        <w:bottom w:val="none" w:sz="0" w:space="0" w:color="auto"/>
        <w:right w:val="none" w:sz="0" w:space="0" w:color="auto"/>
      </w:divBdr>
    </w:div>
    <w:div w:id="1434976374">
      <w:bodyDiv w:val="1"/>
      <w:marLeft w:val="0"/>
      <w:marRight w:val="0"/>
      <w:marTop w:val="0"/>
      <w:marBottom w:val="0"/>
      <w:divBdr>
        <w:top w:val="none" w:sz="0" w:space="0" w:color="auto"/>
        <w:left w:val="none" w:sz="0" w:space="0" w:color="auto"/>
        <w:bottom w:val="none" w:sz="0" w:space="0" w:color="auto"/>
        <w:right w:val="none" w:sz="0" w:space="0" w:color="auto"/>
      </w:divBdr>
    </w:div>
    <w:div w:id="1474132369">
      <w:bodyDiv w:val="1"/>
      <w:marLeft w:val="0"/>
      <w:marRight w:val="0"/>
      <w:marTop w:val="0"/>
      <w:marBottom w:val="0"/>
      <w:divBdr>
        <w:top w:val="none" w:sz="0" w:space="0" w:color="auto"/>
        <w:left w:val="none" w:sz="0" w:space="0" w:color="auto"/>
        <w:bottom w:val="none" w:sz="0" w:space="0" w:color="auto"/>
        <w:right w:val="none" w:sz="0" w:space="0" w:color="auto"/>
      </w:divBdr>
    </w:div>
    <w:div w:id="1488789376">
      <w:bodyDiv w:val="1"/>
      <w:marLeft w:val="0"/>
      <w:marRight w:val="0"/>
      <w:marTop w:val="0"/>
      <w:marBottom w:val="0"/>
      <w:divBdr>
        <w:top w:val="none" w:sz="0" w:space="0" w:color="auto"/>
        <w:left w:val="none" w:sz="0" w:space="0" w:color="auto"/>
        <w:bottom w:val="none" w:sz="0" w:space="0" w:color="auto"/>
        <w:right w:val="none" w:sz="0" w:space="0" w:color="auto"/>
      </w:divBdr>
    </w:div>
    <w:div w:id="1496534127">
      <w:bodyDiv w:val="1"/>
      <w:marLeft w:val="0"/>
      <w:marRight w:val="0"/>
      <w:marTop w:val="0"/>
      <w:marBottom w:val="0"/>
      <w:divBdr>
        <w:top w:val="none" w:sz="0" w:space="0" w:color="auto"/>
        <w:left w:val="none" w:sz="0" w:space="0" w:color="auto"/>
        <w:bottom w:val="none" w:sz="0" w:space="0" w:color="auto"/>
        <w:right w:val="none" w:sz="0" w:space="0" w:color="auto"/>
      </w:divBdr>
    </w:div>
    <w:div w:id="1511719216">
      <w:bodyDiv w:val="1"/>
      <w:marLeft w:val="0"/>
      <w:marRight w:val="0"/>
      <w:marTop w:val="0"/>
      <w:marBottom w:val="0"/>
      <w:divBdr>
        <w:top w:val="none" w:sz="0" w:space="0" w:color="auto"/>
        <w:left w:val="none" w:sz="0" w:space="0" w:color="auto"/>
        <w:bottom w:val="none" w:sz="0" w:space="0" w:color="auto"/>
        <w:right w:val="none" w:sz="0" w:space="0" w:color="auto"/>
      </w:divBdr>
    </w:div>
    <w:div w:id="1559633784">
      <w:bodyDiv w:val="1"/>
      <w:marLeft w:val="0"/>
      <w:marRight w:val="0"/>
      <w:marTop w:val="0"/>
      <w:marBottom w:val="0"/>
      <w:divBdr>
        <w:top w:val="none" w:sz="0" w:space="0" w:color="auto"/>
        <w:left w:val="none" w:sz="0" w:space="0" w:color="auto"/>
        <w:bottom w:val="none" w:sz="0" w:space="0" w:color="auto"/>
        <w:right w:val="none" w:sz="0" w:space="0" w:color="auto"/>
      </w:divBdr>
    </w:div>
    <w:div w:id="1563297462">
      <w:bodyDiv w:val="1"/>
      <w:marLeft w:val="0"/>
      <w:marRight w:val="0"/>
      <w:marTop w:val="0"/>
      <w:marBottom w:val="0"/>
      <w:divBdr>
        <w:top w:val="none" w:sz="0" w:space="0" w:color="auto"/>
        <w:left w:val="none" w:sz="0" w:space="0" w:color="auto"/>
        <w:bottom w:val="none" w:sz="0" w:space="0" w:color="auto"/>
        <w:right w:val="none" w:sz="0" w:space="0" w:color="auto"/>
      </w:divBdr>
    </w:div>
    <w:div w:id="1569416061">
      <w:bodyDiv w:val="1"/>
      <w:marLeft w:val="0"/>
      <w:marRight w:val="0"/>
      <w:marTop w:val="0"/>
      <w:marBottom w:val="0"/>
      <w:divBdr>
        <w:top w:val="none" w:sz="0" w:space="0" w:color="auto"/>
        <w:left w:val="none" w:sz="0" w:space="0" w:color="auto"/>
        <w:bottom w:val="none" w:sz="0" w:space="0" w:color="auto"/>
        <w:right w:val="none" w:sz="0" w:space="0" w:color="auto"/>
      </w:divBdr>
    </w:div>
    <w:div w:id="1574854021">
      <w:bodyDiv w:val="1"/>
      <w:marLeft w:val="0"/>
      <w:marRight w:val="0"/>
      <w:marTop w:val="0"/>
      <w:marBottom w:val="0"/>
      <w:divBdr>
        <w:top w:val="none" w:sz="0" w:space="0" w:color="auto"/>
        <w:left w:val="none" w:sz="0" w:space="0" w:color="auto"/>
        <w:bottom w:val="none" w:sz="0" w:space="0" w:color="auto"/>
        <w:right w:val="none" w:sz="0" w:space="0" w:color="auto"/>
      </w:divBdr>
    </w:div>
    <w:div w:id="1595824582">
      <w:bodyDiv w:val="1"/>
      <w:marLeft w:val="0"/>
      <w:marRight w:val="0"/>
      <w:marTop w:val="0"/>
      <w:marBottom w:val="0"/>
      <w:divBdr>
        <w:top w:val="none" w:sz="0" w:space="0" w:color="auto"/>
        <w:left w:val="none" w:sz="0" w:space="0" w:color="auto"/>
        <w:bottom w:val="none" w:sz="0" w:space="0" w:color="auto"/>
        <w:right w:val="none" w:sz="0" w:space="0" w:color="auto"/>
      </w:divBdr>
    </w:div>
    <w:div w:id="1612514952">
      <w:bodyDiv w:val="1"/>
      <w:marLeft w:val="0"/>
      <w:marRight w:val="0"/>
      <w:marTop w:val="0"/>
      <w:marBottom w:val="0"/>
      <w:divBdr>
        <w:top w:val="none" w:sz="0" w:space="0" w:color="auto"/>
        <w:left w:val="none" w:sz="0" w:space="0" w:color="auto"/>
        <w:bottom w:val="none" w:sz="0" w:space="0" w:color="auto"/>
        <w:right w:val="none" w:sz="0" w:space="0" w:color="auto"/>
      </w:divBdr>
    </w:div>
    <w:div w:id="1619021579">
      <w:bodyDiv w:val="1"/>
      <w:marLeft w:val="0"/>
      <w:marRight w:val="0"/>
      <w:marTop w:val="0"/>
      <w:marBottom w:val="0"/>
      <w:divBdr>
        <w:top w:val="none" w:sz="0" w:space="0" w:color="auto"/>
        <w:left w:val="none" w:sz="0" w:space="0" w:color="auto"/>
        <w:bottom w:val="none" w:sz="0" w:space="0" w:color="auto"/>
        <w:right w:val="none" w:sz="0" w:space="0" w:color="auto"/>
      </w:divBdr>
    </w:div>
    <w:div w:id="1687099908">
      <w:bodyDiv w:val="1"/>
      <w:marLeft w:val="0"/>
      <w:marRight w:val="0"/>
      <w:marTop w:val="0"/>
      <w:marBottom w:val="0"/>
      <w:divBdr>
        <w:top w:val="none" w:sz="0" w:space="0" w:color="auto"/>
        <w:left w:val="none" w:sz="0" w:space="0" w:color="auto"/>
        <w:bottom w:val="none" w:sz="0" w:space="0" w:color="auto"/>
        <w:right w:val="none" w:sz="0" w:space="0" w:color="auto"/>
      </w:divBdr>
    </w:div>
    <w:div w:id="1696688408">
      <w:bodyDiv w:val="1"/>
      <w:marLeft w:val="0"/>
      <w:marRight w:val="0"/>
      <w:marTop w:val="0"/>
      <w:marBottom w:val="0"/>
      <w:divBdr>
        <w:top w:val="none" w:sz="0" w:space="0" w:color="auto"/>
        <w:left w:val="none" w:sz="0" w:space="0" w:color="auto"/>
        <w:bottom w:val="none" w:sz="0" w:space="0" w:color="auto"/>
        <w:right w:val="none" w:sz="0" w:space="0" w:color="auto"/>
      </w:divBdr>
    </w:div>
    <w:div w:id="1700931448">
      <w:bodyDiv w:val="1"/>
      <w:marLeft w:val="0"/>
      <w:marRight w:val="0"/>
      <w:marTop w:val="0"/>
      <w:marBottom w:val="0"/>
      <w:divBdr>
        <w:top w:val="none" w:sz="0" w:space="0" w:color="auto"/>
        <w:left w:val="none" w:sz="0" w:space="0" w:color="auto"/>
        <w:bottom w:val="none" w:sz="0" w:space="0" w:color="auto"/>
        <w:right w:val="none" w:sz="0" w:space="0" w:color="auto"/>
      </w:divBdr>
    </w:div>
    <w:div w:id="1703044864">
      <w:bodyDiv w:val="1"/>
      <w:marLeft w:val="0"/>
      <w:marRight w:val="0"/>
      <w:marTop w:val="0"/>
      <w:marBottom w:val="0"/>
      <w:divBdr>
        <w:top w:val="none" w:sz="0" w:space="0" w:color="auto"/>
        <w:left w:val="none" w:sz="0" w:space="0" w:color="auto"/>
        <w:bottom w:val="none" w:sz="0" w:space="0" w:color="auto"/>
        <w:right w:val="none" w:sz="0" w:space="0" w:color="auto"/>
      </w:divBdr>
    </w:div>
    <w:div w:id="1747147322">
      <w:bodyDiv w:val="1"/>
      <w:marLeft w:val="0"/>
      <w:marRight w:val="0"/>
      <w:marTop w:val="0"/>
      <w:marBottom w:val="0"/>
      <w:divBdr>
        <w:top w:val="none" w:sz="0" w:space="0" w:color="auto"/>
        <w:left w:val="none" w:sz="0" w:space="0" w:color="auto"/>
        <w:bottom w:val="none" w:sz="0" w:space="0" w:color="auto"/>
        <w:right w:val="none" w:sz="0" w:space="0" w:color="auto"/>
      </w:divBdr>
    </w:div>
    <w:div w:id="1750423519">
      <w:bodyDiv w:val="1"/>
      <w:marLeft w:val="0"/>
      <w:marRight w:val="0"/>
      <w:marTop w:val="0"/>
      <w:marBottom w:val="0"/>
      <w:divBdr>
        <w:top w:val="none" w:sz="0" w:space="0" w:color="auto"/>
        <w:left w:val="none" w:sz="0" w:space="0" w:color="auto"/>
        <w:bottom w:val="none" w:sz="0" w:space="0" w:color="auto"/>
        <w:right w:val="none" w:sz="0" w:space="0" w:color="auto"/>
      </w:divBdr>
    </w:div>
    <w:div w:id="1758818247">
      <w:bodyDiv w:val="1"/>
      <w:marLeft w:val="0"/>
      <w:marRight w:val="0"/>
      <w:marTop w:val="0"/>
      <w:marBottom w:val="0"/>
      <w:divBdr>
        <w:top w:val="none" w:sz="0" w:space="0" w:color="auto"/>
        <w:left w:val="none" w:sz="0" w:space="0" w:color="auto"/>
        <w:bottom w:val="none" w:sz="0" w:space="0" w:color="auto"/>
        <w:right w:val="none" w:sz="0" w:space="0" w:color="auto"/>
      </w:divBdr>
    </w:div>
    <w:div w:id="1782410580">
      <w:bodyDiv w:val="1"/>
      <w:marLeft w:val="0"/>
      <w:marRight w:val="0"/>
      <w:marTop w:val="0"/>
      <w:marBottom w:val="0"/>
      <w:divBdr>
        <w:top w:val="none" w:sz="0" w:space="0" w:color="auto"/>
        <w:left w:val="none" w:sz="0" w:space="0" w:color="auto"/>
        <w:bottom w:val="none" w:sz="0" w:space="0" w:color="auto"/>
        <w:right w:val="none" w:sz="0" w:space="0" w:color="auto"/>
      </w:divBdr>
    </w:div>
    <w:div w:id="1818181544">
      <w:bodyDiv w:val="1"/>
      <w:marLeft w:val="0"/>
      <w:marRight w:val="0"/>
      <w:marTop w:val="0"/>
      <w:marBottom w:val="0"/>
      <w:divBdr>
        <w:top w:val="none" w:sz="0" w:space="0" w:color="auto"/>
        <w:left w:val="none" w:sz="0" w:space="0" w:color="auto"/>
        <w:bottom w:val="none" w:sz="0" w:space="0" w:color="auto"/>
        <w:right w:val="none" w:sz="0" w:space="0" w:color="auto"/>
      </w:divBdr>
    </w:div>
    <w:div w:id="1833836776">
      <w:bodyDiv w:val="1"/>
      <w:marLeft w:val="0"/>
      <w:marRight w:val="0"/>
      <w:marTop w:val="0"/>
      <w:marBottom w:val="0"/>
      <w:divBdr>
        <w:top w:val="none" w:sz="0" w:space="0" w:color="auto"/>
        <w:left w:val="none" w:sz="0" w:space="0" w:color="auto"/>
        <w:bottom w:val="none" w:sz="0" w:space="0" w:color="auto"/>
        <w:right w:val="none" w:sz="0" w:space="0" w:color="auto"/>
      </w:divBdr>
    </w:div>
    <w:div w:id="1848712295">
      <w:bodyDiv w:val="1"/>
      <w:marLeft w:val="0"/>
      <w:marRight w:val="0"/>
      <w:marTop w:val="0"/>
      <w:marBottom w:val="0"/>
      <w:divBdr>
        <w:top w:val="none" w:sz="0" w:space="0" w:color="auto"/>
        <w:left w:val="none" w:sz="0" w:space="0" w:color="auto"/>
        <w:bottom w:val="none" w:sz="0" w:space="0" w:color="auto"/>
        <w:right w:val="none" w:sz="0" w:space="0" w:color="auto"/>
      </w:divBdr>
    </w:div>
    <w:div w:id="1854028756">
      <w:bodyDiv w:val="1"/>
      <w:marLeft w:val="0"/>
      <w:marRight w:val="0"/>
      <w:marTop w:val="0"/>
      <w:marBottom w:val="0"/>
      <w:divBdr>
        <w:top w:val="none" w:sz="0" w:space="0" w:color="auto"/>
        <w:left w:val="none" w:sz="0" w:space="0" w:color="auto"/>
        <w:bottom w:val="none" w:sz="0" w:space="0" w:color="auto"/>
        <w:right w:val="none" w:sz="0" w:space="0" w:color="auto"/>
      </w:divBdr>
    </w:div>
    <w:div w:id="1874731689">
      <w:bodyDiv w:val="1"/>
      <w:marLeft w:val="0"/>
      <w:marRight w:val="0"/>
      <w:marTop w:val="0"/>
      <w:marBottom w:val="0"/>
      <w:divBdr>
        <w:top w:val="none" w:sz="0" w:space="0" w:color="auto"/>
        <w:left w:val="none" w:sz="0" w:space="0" w:color="auto"/>
        <w:bottom w:val="none" w:sz="0" w:space="0" w:color="auto"/>
        <w:right w:val="none" w:sz="0" w:space="0" w:color="auto"/>
      </w:divBdr>
    </w:div>
    <w:div w:id="1891191202">
      <w:bodyDiv w:val="1"/>
      <w:marLeft w:val="0"/>
      <w:marRight w:val="0"/>
      <w:marTop w:val="0"/>
      <w:marBottom w:val="0"/>
      <w:divBdr>
        <w:top w:val="none" w:sz="0" w:space="0" w:color="auto"/>
        <w:left w:val="none" w:sz="0" w:space="0" w:color="auto"/>
        <w:bottom w:val="none" w:sz="0" w:space="0" w:color="auto"/>
        <w:right w:val="none" w:sz="0" w:space="0" w:color="auto"/>
      </w:divBdr>
    </w:div>
    <w:div w:id="1945378973">
      <w:bodyDiv w:val="1"/>
      <w:marLeft w:val="0"/>
      <w:marRight w:val="0"/>
      <w:marTop w:val="0"/>
      <w:marBottom w:val="0"/>
      <w:divBdr>
        <w:top w:val="none" w:sz="0" w:space="0" w:color="auto"/>
        <w:left w:val="none" w:sz="0" w:space="0" w:color="auto"/>
        <w:bottom w:val="none" w:sz="0" w:space="0" w:color="auto"/>
        <w:right w:val="none" w:sz="0" w:space="0" w:color="auto"/>
      </w:divBdr>
    </w:div>
    <w:div w:id="1957370995">
      <w:bodyDiv w:val="1"/>
      <w:marLeft w:val="0"/>
      <w:marRight w:val="0"/>
      <w:marTop w:val="0"/>
      <w:marBottom w:val="0"/>
      <w:divBdr>
        <w:top w:val="none" w:sz="0" w:space="0" w:color="auto"/>
        <w:left w:val="none" w:sz="0" w:space="0" w:color="auto"/>
        <w:bottom w:val="none" w:sz="0" w:space="0" w:color="auto"/>
        <w:right w:val="none" w:sz="0" w:space="0" w:color="auto"/>
      </w:divBdr>
    </w:div>
    <w:div w:id="1965190569">
      <w:bodyDiv w:val="1"/>
      <w:marLeft w:val="0"/>
      <w:marRight w:val="0"/>
      <w:marTop w:val="0"/>
      <w:marBottom w:val="0"/>
      <w:divBdr>
        <w:top w:val="none" w:sz="0" w:space="0" w:color="auto"/>
        <w:left w:val="none" w:sz="0" w:space="0" w:color="auto"/>
        <w:bottom w:val="none" w:sz="0" w:space="0" w:color="auto"/>
        <w:right w:val="none" w:sz="0" w:space="0" w:color="auto"/>
      </w:divBdr>
    </w:div>
    <w:div w:id="1976567445">
      <w:bodyDiv w:val="1"/>
      <w:marLeft w:val="0"/>
      <w:marRight w:val="0"/>
      <w:marTop w:val="0"/>
      <w:marBottom w:val="0"/>
      <w:divBdr>
        <w:top w:val="none" w:sz="0" w:space="0" w:color="auto"/>
        <w:left w:val="none" w:sz="0" w:space="0" w:color="auto"/>
        <w:bottom w:val="none" w:sz="0" w:space="0" w:color="auto"/>
        <w:right w:val="none" w:sz="0" w:space="0" w:color="auto"/>
      </w:divBdr>
    </w:div>
    <w:div w:id="1979263599">
      <w:bodyDiv w:val="1"/>
      <w:marLeft w:val="0"/>
      <w:marRight w:val="0"/>
      <w:marTop w:val="0"/>
      <w:marBottom w:val="0"/>
      <w:divBdr>
        <w:top w:val="none" w:sz="0" w:space="0" w:color="auto"/>
        <w:left w:val="none" w:sz="0" w:space="0" w:color="auto"/>
        <w:bottom w:val="none" w:sz="0" w:space="0" w:color="auto"/>
        <w:right w:val="none" w:sz="0" w:space="0" w:color="auto"/>
      </w:divBdr>
    </w:div>
    <w:div w:id="1989167622">
      <w:bodyDiv w:val="1"/>
      <w:marLeft w:val="0"/>
      <w:marRight w:val="0"/>
      <w:marTop w:val="0"/>
      <w:marBottom w:val="0"/>
      <w:divBdr>
        <w:top w:val="none" w:sz="0" w:space="0" w:color="auto"/>
        <w:left w:val="none" w:sz="0" w:space="0" w:color="auto"/>
        <w:bottom w:val="none" w:sz="0" w:space="0" w:color="auto"/>
        <w:right w:val="none" w:sz="0" w:space="0" w:color="auto"/>
      </w:divBdr>
    </w:div>
    <w:div w:id="2093502101">
      <w:bodyDiv w:val="1"/>
      <w:marLeft w:val="0"/>
      <w:marRight w:val="0"/>
      <w:marTop w:val="0"/>
      <w:marBottom w:val="0"/>
      <w:divBdr>
        <w:top w:val="none" w:sz="0" w:space="0" w:color="auto"/>
        <w:left w:val="none" w:sz="0" w:space="0" w:color="auto"/>
        <w:bottom w:val="none" w:sz="0" w:space="0" w:color="auto"/>
        <w:right w:val="none" w:sz="0" w:space="0" w:color="auto"/>
      </w:divBdr>
    </w:div>
    <w:div w:id="2114812980">
      <w:bodyDiv w:val="1"/>
      <w:marLeft w:val="0"/>
      <w:marRight w:val="0"/>
      <w:marTop w:val="0"/>
      <w:marBottom w:val="0"/>
      <w:divBdr>
        <w:top w:val="none" w:sz="0" w:space="0" w:color="auto"/>
        <w:left w:val="none" w:sz="0" w:space="0" w:color="auto"/>
        <w:bottom w:val="none" w:sz="0" w:space="0" w:color="auto"/>
        <w:right w:val="none" w:sz="0" w:space="0" w:color="auto"/>
      </w:divBdr>
    </w:div>
    <w:div w:id="2118255183">
      <w:bodyDiv w:val="1"/>
      <w:marLeft w:val="0"/>
      <w:marRight w:val="0"/>
      <w:marTop w:val="0"/>
      <w:marBottom w:val="0"/>
      <w:divBdr>
        <w:top w:val="none" w:sz="0" w:space="0" w:color="auto"/>
        <w:left w:val="none" w:sz="0" w:space="0" w:color="auto"/>
        <w:bottom w:val="none" w:sz="0" w:space="0" w:color="auto"/>
        <w:right w:val="none" w:sz="0" w:space="0" w:color="auto"/>
      </w:divBdr>
    </w:div>
    <w:div w:id="2130124295">
      <w:bodyDiv w:val="1"/>
      <w:marLeft w:val="0"/>
      <w:marRight w:val="0"/>
      <w:marTop w:val="0"/>
      <w:marBottom w:val="0"/>
      <w:divBdr>
        <w:top w:val="none" w:sz="0" w:space="0" w:color="auto"/>
        <w:left w:val="none" w:sz="0" w:space="0" w:color="auto"/>
        <w:bottom w:val="none" w:sz="0" w:space="0" w:color="auto"/>
        <w:right w:val="none" w:sz="0" w:space="0" w:color="auto"/>
      </w:divBdr>
    </w:div>
    <w:div w:id="2137336425">
      <w:bodyDiv w:val="1"/>
      <w:marLeft w:val="0"/>
      <w:marRight w:val="0"/>
      <w:marTop w:val="0"/>
      <w:marBottom w:val="0"/>
      <w:divBdr>
        <w:top w:val="none" w:sz="0" w:space="0" w:color="auto"/>
        <w:left w:val="none" w:sz="0" w:space="0" w:color="auto"/>
        <w:bottom w:val="none" w:sz="0" w:space="0" w:color="auto"/>
        <w:right w:val="none" w:sz="0" w:space="0" w:color="auto"/>
      </w:divBdr>
    </w:div>
    <w:div w:id="21393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png"/><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7.xm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hart" Target="charts/chart6.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c\shared\professional%20services\Ongoing\GAP%20ANALYSIS\Fresno%20CC%20Gap\Data\Fresno%20City%20College%20Template,%20Par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shared\professional%20services\Ongoing\GAP%20ANALYSIS\Fresno%20CC%20Gap\Data\Fresno%20City%20College%20Template,%20Par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shared\professional%20services\Ongoing\GAP%20ANALYSIS\Fresno%20CC%20Gap\Data\Fresno%20City%20College%20Template,%20Part%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shared\professional%20services\Ongoing\GAP%20ANALYSIS\Fresno%20CC%20Gap\Data\Fresno%20City%20College%20Template,%20Part%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shared\professional%20services\Ongoing\GAP%20ANALYSIS\Fresno%20CC%20Gap\Data\Fresno%20City%20College%20Template,%20Part%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shared\professional%20services\Ongoing\GAP%20ANALYSIS\Fresno%20CC%20Gap\Data\Fresno%20City%20College%20Template,%20Part%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shared\professional%20services\Ongoing\GAP%20ANALYSIS\Fresno%20CC%20Gap\Data\Fresno%20City%20College%20Template,%20Part%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shared\professional%20services\Ongoing\GAP%20ANALYSIS\Reedley%20College%20Gap\Data\Reedley%20College%20Template,%20Part%202%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c\shared\professional%20services\Ongoing\GAP%20ANALYSIS\Reedley%20College%20Gap\Data\Reedley%20College%20Template,%20Part%202%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610987480387097"/>
          <c:y val="6.3948840927258192E-3"/>
          <c:w val="0.54099221639848205"/>
          <c:h val="0.86466481546649976"/>
        </c:manualLayout>
      </c:layout>
      <c:barChart>
        <c:barDir val="bar"/>
        <c:grouping val="clustered"/>
        <c:varyColors val="0"/>
        <c:ser>
          <c:idx val="0"/>
          <c:order val="0"/>
          <c:tx>
            <c:strRef>
              <c:f>Tables!$D$9</c:f>
              <c:strCache>
                <c:ptCount val="1"/>
                <c:pt idx="0">
                  <c:v>2014 Jobs</c:v>
                </c:pt>
              </c:strCache>
            </c:strRef>
          </c:tx>
          <c:spPr>
            <a:solidFill>
              <a:schemeClr val="accent1"/>
            </a:solidFill>
          </c:spPr>
          <c:invertIfNegative val="0"/>
          <c:cat>
            <c:strRef>
              <c:f>Tables!$C$10:$C$29</c:f>
              <c:strCache>
                <c:ptCount val="20"/>
                <c:pt idx="0">
                  <c:v>Agriculture, Forestry, Fishing and Hunting</c:v>
                </c:pt>
                <c:pt idx="1">
                  <c:v>Mining, Quarrying, and Oil and Gas Extraction</c:v>
                </c:pt>
                <c:pt idx="2">
                  <c:v>Utilities</c:v>
                </c:pt>
                <c:pt idx="3">
                  <c:v>Construction</c:v>
                </c:pt>
                <c:pt idx="4">
                  <c:v>Manufacturing</c:v>
                </c:pt>
                <c:pt idx="5">
                  <c:v>Wholesale Trade</c:v>
                </c:pt>
                <c:pt idx="6">
                  <c:v>Retail Trade</c:v>
                </c:pt>
                <c:pt idx="7">
                  <c:v>Transportation and Warehousing</c:v>
                </c:pt>
                <c:pt idx="8">
                  <c:v>Information</c:v>
                </c:pt>
                <c:pt idx="9">
                  <c:v>Finance and Insurance</c:v>
                </c:pt>
                <c:pt idx="10">
                  <c:v>Real Estate and Rental and Leasing</c:v>
                </c:pt>
                <c:pt idx="11">
                  <c:v>Professional, Scientific, and Technical Services</c:v>
                </c:pt>
                <c:pt idx="12">
                  <c:v>Management of Companies and Enterprises</c:v>
                </c:pt>
                <c:pt idx="13">
                  <c:v>Administrative and Support and Waste Management and Remediation Services</c:v>
                </c:pt>
                <c:pt idx="14">
                  <c:v>Educational Services</c:v>
                </c:pt>
                <c:pt idx="15">
                  <c:v>Health Care and Social Assistance</c:v>
                </c:pt>
                <c:pt idx="16">
                  <c:v>Arts, Entertainment, and Recreation</c:v>
                </c:pt>
                <c:pt idx="17">
                  <c:v>Accommodation and Food Services</c:v>
                </c:pt>
                <c:pt idx="18">
                  <c:v>Other Services (except Public Administration)</c:v>
                </c:pt>
                <c:pt idx="19">
                  <c:v>Government</c:v>
                </c:pt>
              </c:strCache>
            </c:strRef>
          </c:cat>
          <c:val>
            <c:numRef>
              <c:f>Tables!$D$10:$D$29</c:f>
              <c:numCache>
                <c:formatCode>#,##0;[Red]\ \(#,##0\)</c:formatCode>
                <c:ptCount val="20"/>
                <c:pt idx="0">
                  <c:v>109735.46389499999</c:v>
                </c:pt>
                <c:pt idx="1">
                  <c:v>343.25728838200001</c:v>
                </c:pt>
                <c:pt idx="2">
                  <c:v>2954.6108935299999</c:v>
                </c:pt>
                <c:pt idx="3">
                  <c:v>26693.982072999999</c:v>
                </c:pt>
                <c:pt idx="4">
                  <c:v>42571.780357900003</c:v>
                </c:pt>
                <c:pt idx="5">
                  <c:v>20234.338298800001</c:v>
                </c:pt>
                <c:pt idx="6">
                  <c:v>65776.273116299999</c:v>
                </c:pt>
                <c:pt idx="7">
                  <c:v>20688.0306146</c:v>
                </c:pt>
                <c:pt idx="8">
                  <c:v>5565.4191988000002</c:v>
                </c:pt>
                <c:pt idx="9">
                  <c:v>13963.4499134</c:v>
                </c:pt>
                <c:pt idx="10">
                  <c:v>8321.3084670099997</c:v>
                </c:pt>
                <c:pt idx="11">
                  <c:v>17983.516507299999</c:v>
                </c:pt>
                <c:pt idx="12">
                  <c:v>3372.8479716299998</c:v>
                </c:pt>
                <c:pt idx="13">
                  <c:v>39064.363910799999</c:v>
                </c:pt>
                <c:pt idx="14">
                  <c:v>7772.2316296299996</c:v>
                </c:pt>
                <c:pt idx="15">
                  <c:v>83778.126952199993</c:v>
                </c:pt>
                <c:pt idx="16">
                  <c:v>6227.8730421299997</c:v>
                </c:pt>
                <c:pt idx="17">
                  <c:v>42638.604850999996</c:v>
                </c:pt>
                <c:pt idx="18">
                  <c:v>28546.5400286</c:v>
                </c:pt>
                <c:pt idx="19">
                  <c:v>125994.524699</c:v>
                </c:pt>
              </c:numCache>
            </c:numRef>
          </c:val>
          <c:extLst xmlns:c16r2="http://schemas.microsoft.com/office/drawing/2015/06/chart">
            <c:ext xmlns:c16="http://schemas.microsoft.com/office/drawing/2014/chart" uri="{C3380CC4-5D6E-409C-BE32-E72D297353CC}">
              <c16:uniqueId val="{00000000-B07D-4F9B-9F3D-2A1F77484469}"/>
            </c:ext>
          </c:extLst>
        </c:ser>
        <c:ser>
          <c:idx val="1"/>
          <c:order val="1"/>
          <c:tx>
            <c:strRef>
              <c:f>Tables!$G$9</c:f>
              <c:strCache>
                <c:ptCount val="1"/>
                <c:pt idx="0">
                  <c:v>2014-2024 Change</c:v>
                </c:pt>
              </c:strCache>
            </c:strRef>
          </c:tx>
          <c:invertIfNegative val="0"/>
          <c:cat>
            <c:strRef>
              <c:f>Tables!$C$10:$C$29</c:f>
              <c:strCache>
                <c:ptCount val="20"/>
                <c:pt idx="0">
                  <c:v>Agriculture, Forestry, Fishing and Hunting</c:v>
                </c:pt>
                <c:pt idx="1">
                  <c:v>Mining, Quarrying, and Oil and Gas Extraction</c:v>
                </c:pt>
                <c:pt idx="2">
                  <c:v>Utilities</c:v>
                </c:pt>
                <c:pt idx="3">
                  <c:v>Construction</c:v>
                </c:pt>
                <c:pt idx="4">
                  <c:v>Manufacturing</c:v>
                </c:pt>
                <c:pt idx="5">
                  <c:v>Wholesale Trade</c:v>
                </c:pt>
                <c:pt idx="6">
                  <c:v>Retail Trade</c:v>
                </c:pt>
                <c:pt idx="7">
                  <c:v>Transportation and Warehousing</c:v>
                </c:pt>
                <c:pt idx="8">
                  <c:v>Information</c:v>
                </c:pt>
                <c:pt idx="9">
                  <c:v>Finance and Insurance</c:v>
                </c:pt>
                <c:pt idx="10">
                  <c:v>Real Estate and Rental and Leasing</c:v>
                </c:pt>
                <c:pt idx="11">
                  <c:v>Professional, Scientific, and Technical Services</c:v>
                </c:pt>
                <c:pt idx="12">
                  <c:v>Management of Companies and Enterprises</c:v>
                </c:pt>
                <c:pt idx="13">
                  <c:v>Administrative and Support and Waste Management and Remediation Services</c:v>
                </c:pt>
                <c:pt idx="14">
                  <c:v>Educational Services</c:v>
                </c:pt>
                <c:pt idx="15">
                  <c:v>Health Care and Social Assistance</c:v>
                </c:pt>
                <c:pt idx="16">
                  <c:v>Arts, Entertainment, and Recreation</c:v>
                </c:pt>
                <c:pt idx="17">
                  <c:v>Accommodation and Food Services</c:v>
                </c:pt>
                <c:pt idx="18">
                  <c:v>Other Services (except Public Administration)</c:v>
                </c:pt>
                <c:pt idx="19">
                  <c:v>Government</c:v>
                </c:pt>
              </c:strCache>
            </c:strRef>
          </c:cat>
          <c:val>
            <c:numRef>
              <c:f>Tables!$G$10:$G$29</c:f>
              <c:numCache>
                <c:formatCode>#,##0_);\(#,##0\)</c:formatCode>
                <c:ptCount val="20"/>
                <c:pt idx="0">
                  <c:v>-488</c:v>
                </c:pt>
                <c:pt idx="1">
                  <c:v>63</c:v>
                </c:pt>
                <c:pt idx="2">
                  <c:v>408</c:v>
                </c:pt>
                <c:pt idx="3">
                  <c:v>4214</c:v>
                </c:pt>
                <c:pt idx="4">
                  <c:v>2980</c:v>
                </c:pt>
                <c:pt idx="5">
                  <c:v>3836</c:v>
                </c:pt>
                <c:pt idx="6">
                  <c:v>11348</c:v>
                </c:pt>
                <c:pt idx="7">
                  <c:v>3396</c:v>
                </c:pt>
                <c:pt idx="8">
                  <c:v>389</c:v>
                </c:pt>
                <c:pt idx="9">
                  <c:v>975</c:v>
                </c:pt>
                <c:pt idx="10">
                  <c:v>668</c:v>
                </c:pt>
                <c:pt idx="11">
                  <c:v>3494</c:v>
                </c:pt>
                <c:pt idx="12">
                  <c:v>-1469</c:v>
                </c:pt>
                <c:pt idx="13">
                  <c:v>12064</c:v>
                </c:pt>
                <c:pt idx="14">
                  <c:v>2238</c:v>
                </c:pt>
                <c:pt idx="15">
                  <c:v>21182</c:v>
                </c:pt>
                <c:pt idx="16">
                  <c:v>423</c:v>
                </c:pt>
                <c:pt idx="17">
                  <c:v>8366</c:v>
                </c:pt>
                <c:pt idx="18">
                  <c:v>3417</c:v>
                </c:pt>
                <c:pt idx="19">
                  <c:v>7474</c:v>
                </c:pt>
              </c:numCache>
            </c:numRef>
          </c:val>
          <c:extLst xmlns:c16r2="http://schemas.microsoft.com/office/drawing/2015/06/chart">
            <c:ext xmlns:c16="http://schemas.microsoft.com/office/drawing/2014/chart" uri="{C3380CC4-5D6E-409C-BE32-E72D297353CC}">
              <c16:uniqueId val="{00000001-B07D-4F9B-9F3D-2A1F77484469}"/>
            </c:ext>
          </c:extLst>
        </c:ser>
        <c:dLbls>
          <c:showLegendKey val="0"/>
          <c:showVal val="0"/>
          <c:showCatName val="0"/>
          <c:showSerName val="0"/>
          <c:showPercent val="0"/>
          <c:showBubbleSize val="0"/>
        </c:dLbls>
        <c:gapWidth val="50"/>
        <c:axId val="5216592"/>
        <c:axId val="5216976"/>
      </c:barChart>
      <c:catAx>
        <c:axId val="5216592"/>
        <c:scaling>
          <c:orientation val="maxMin"/>
        </c:scaling>
        <c:delete val="0"/>
        <c:axPos val="l"/>
        <c:numFmt formatCode="General" sourceLinked="0"/>
        <c:majorTickMark val="out"/>
        <c:minorTickMark val="none"/>
        <c:tickLblPos val="low"/>
        <c:spPr>
          <a:ln>
            <a:noFill/>
          </a:ln>
        </c:spPr>
        <c:txPr>
          <a:bodyPr rot="0"/>
          <a:lstStyle/>
          <a:p>
            <a:pPr>
              <a:defRPr/>
            </a:pPr>
            <a:endParaRPr lang="en-US"/>
          </a:p>
        </c:txPr>
        <c:crossAx val="5216976"/>
        <c:crosses val="autoZero"/>
        <c:auto val="1"/>
        <c:lblAlgn val="ctr"/>
        <c:lblOffset val="100"/>
        <c:noMultiLvlLbl val="0"/>
      </c:catAx>
      <c:valAx>
        <c:axId val="5216976"/>
        <c:scaling>
          <c:orientation val="minMax"/>
        </c:scaling>
        <c:delete val="0"/>
        <c:axPos val="t"/>
        <c:majorGridlines/>
        <c:title>
          <c:tx>
            <c:rich>
              <a:bodyPr/>
              <a:lstStyle/>
              <a:p>
                <a:pPr>
                  <a:defRPr/>
                </a:pPr>
                <a:r>
                  <a:rPr lang="en-US"/>
                  <a:t>Number of</a:t>
                </a:r>
                <a:r>
                  <a:rPr lang="en-US" baseline="0"/>
                  <a:t> jobs (thousands)</a:t>
                </a:r>
                <a:endParaRPr lang="en-US"/>
              </a:p>
            </c:rich>
          </c:tx>
          <c:layout>
            <c:manualLayout>
              <c:xMode val="edge"/>
              <c:yMode val="edge"/>
              <c:x val="0.70041211603868669"/>
              <c:y val="0.94821982309715791"/>
            </c:manualLayout>
          </c:layout>
          <c:overlay val="0"/>
        </c:title>
        <c:numFmt formatCode="#,##0;[Red]\ \(#,##0\)" sourceLinked="1"/>
        <c:majorTickMark val="out"/>
        <c:minorTickMark val="none"/>
        <c:tickLblPos val="high"/>
        <c:spPr>
          <a:ln>
            <a:noFill/>
          </a:ln>
        </c:spPr>
        <c:crossAx val="5216592"/>
        <c:crosses val="autoZero"/>
        <c:crossBetween val="between"/>
        <c:dispUnits>
          <c:builtInUnit val="thousands"/>
        </c:dispUnits>
      </c:valAx>
    </c:plotArea>
    <c:legend>
      <c:legendPos val="t"/>
      <c:layout>
        <c:manualLayout>
          <c:xMode val="edge"/>
          <c:yMode val="edge"/>
          <c:x val="1.2416499799227224E-2"/>
          <c:y val="0.93851108770708469"/>
          <c:w val="0.35037791153765352"/>
          <c:h val="5.8520740381535465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8547189580025901"/>
          <c:y val="8.3683692968505733E-4"/>
          <c:w val="0.54099221639848205"/>
          <c:h val="0.86466481546649976"/>
        </c:manualLayout>
      </c:layout>
      <c:barChart>
        <c:barDir val="bar"/>
        <c:grouping val="clustered"/>
        <c:varyColors val="0"/>
        <c:ser>
          <c:idx val="0"/>
          <c:order val="0"/>
          <c:tx>
            <c:strRef>
              <c:f>Tables!$R$73</c:f>
              <c:strCache>
                <c:ptCount val="1"/>
                <c:pt idx="0">
                  <c:v>Some College and Above</c:v>
                </c:pt>
              </c:strCache>
            </c:strRef>
          </c:tx>
          <c:spPr>
            <a:solidFill>
              <a:schemeClr val="accent1"/>
            </a:solidFill>
          </c:spPr>
          <c:invertIfNegative val="0"/>
          <c:cat>
            <c:strRef>
              <c:f>Tables!$O$74:$O$95</c:f>
              <c:strCache>
                <c:ptCount val="22"/>
                <c:pt idx="0">
                  <c:v>Management </c:v>
                </c:pt>
                <c:pt idx="1">
                  <c:v>Business and Financial Operations </c:v>
                </c:pt>
                <c:pt idx="2">
                  <c:v>Computer and Mathematical </c:v>
                </c:pt>
                <c:pt idx="3">
                  <c:v>Architecture and Engineering </c:v>
                </c:pt>
                <c:pt idx="4">
                  <c:v>Life, Physical, and Social Science </c:v>
                </c:pt>
                <c:pt idx="5">
                  <c:v>Community and Social Service </c:v>
                </c:pt>
                <c:pt idx="6">
                  <c:v>Legal </c:v>
                </c:pt>
                <c:pt idx="7">
                  <c:v>Education, Training, and Library </c:v>
                </c:pt>
                <c:pt idx="8">
                  <c:v>Arts, Design, Entertainment, Sports, and Media </c:v>
                </c:pt>
                <c:pt idx="9">
                  <c:v>Healthcare Practitioners and Technical </c:v>
                </c:pt>
                <c:pt idx="10">
                  <c:v>Healthcare Support </c:v>
                </c:pt>
                <c:pt idx="11">
                  <c:v>Protective Service </c:v>
                </c:pt>
                <c:pt idx="12">
                  <c:v>Food Preparation and Serving Related </c:v>
                </c:pt>
                <c:pt idx="13">
                  <c:v>Building and Grounds Cleaning and Maintenance </c:v>
                </c:pt>
                <c:pt idx="14">
                  <c:v>Personal Care and Service </c:v>
                </c:pt>
                <c:pt idx="15">
                  <c:v>Sales and Related </c:v>
                </c:pt>
                <c:pt idx="16">
                  <c:v>Office and Administrative Support </c:v>
                </c:pt>
                <c:pt idx="17">
                  <c:v>Farming, Fishing, and Forestry </c:v>
                </c:pt>
                <c:pt idx="18">
                  <c:v>Construction and Extraction </c:v>
                </c:pt>
                <c:pt idx="19">
                  <c:v>Installation, Maintenance, and Repair </c:v>
                </c:pt>
                <c:pt idx="20">
                  <c:v>Production </c:v>
                </c:pt>
                <c:pt idx="21">
                  <c:v>Transportation and Material Moving </c:v>
                </c:pt>
              </c:strCache>
            </c:strRef>
          </c:cat>
          <c:val>
            <c:numRef>
              <c:f>Tables!$R$74:$R$95</c:f>
              <c:numCache>
                <c:formatCode>#,##0</c:formatCode>
                <c:ptCount val="22"/>
                <c:pt idx="0">
                  <c:v>804.74399999999991</c:v>
                </c:pt>
                <c:pt idx="1">
                  <c:v>657.49339999999995</c:v>
                </c:pt>
                <c:pt idx="2">
                  <c:v>196.03390000000007</c:v>
                </c:pt>
                <c:pt idx="3">
                  <c:v>174.80060000000003</c:v>
                </c:pt>
                <c:pt idx="4">
                  <c:v>215.72299999999996</c:v>
                </c:pt>
                <c:pt idx="5">
                  <c:v>518.09400000000005</c:v>
                </c:pt>
                <c:pt idx="6">
                  <c:v>106.61359999999999</c:v>
                </c:pt>
                <c:pt idx="7">
                  <c:v>1398.8035999999997</c:v>
                </c:pt>
                <c:pt idx="8">
                  <c:v>215.81779999999998</c:v>
                </c:pt>
                <c:pt idx="9">
                  <c:v>1279.5636</c:v>
                </c:pt>
                <c:pt idx="10">
                  <c:v>445.60180000000003</c:v>
                </c:pt>
                <c:pt idx="11">
                  <c:v>511.62030000000004</c:v>
                </c:pt>
                <c:pt idx="12">
                  <c:v>1013.6884000000001</c:v>
                </c:pt>
                <c:pt idx="13">
                  <c:v>263.28039999999993</c:v>
                </c:pt>
                <c:pt idx="14">
                  <c:v>572.07450000000006</c:v>
                </c:pt>
                <c:pt idx="15">
                  <c:v>1840.8121999999998</c:v>
                </c:pt>
                <c:pt idx="16">
                  <c:v>2036.8709000000001</c:v>
                </c:pt>
                <c:pt idx="17">
                  <c:v>491.05149999999992</c:v>
                </c:pt>
                <c:pt idx="18">
                  <c:v>261.83850000000001</c:v>
                </c:pt>
                <c:pt idx="19">
                  <c:v>489.81349999999986</c:v>
                </c:pt>
                <c:pt idx="20">
                  <c:v>409.88280000000003</c:v>
                </c:pt>
                <c:pt idx="21">
                  <c:v>692.57539999999995</c:v>
                </c:pt>
              </c:numCache>
            </c:numRef>
          </c:val>
          <c:extLst xmlns:c16r2="http://schemas.microsoft.com/office/drawing/2015/06/chart">
            <c:ext xmlns:c16="http://schemas.microsoft.com/office/drawing/2014/chart" uri="{C3380CC4-5D6E-409C-BE32-E72D297353CC}">
              <c16:uniqueId val="{00000000-F68F-46D4-B1E1-07CD163A705A}"/>
            </c:ext>
          </c:extLst>
        </c:ser>
        <c:dLbls>
          <c:showLegendKey val="0"/>
          <c:showVal val="0"/>
          <c:showCatName val="0"/>
          <c:showSerName val="0"/>
          <c:showPercent val="0"/>
          <c:showBubbleSize val="0"/>
        </c:dLbls>
        <c:gapWidth val="100"/>
        <c:axId val="138620832"/>
        <c:axId val="138477272"/>
      </c:barChart>
      <c:catAx>
        <c:axId val="138620832"/>
        <c:scaling>
          <c:orientation val="maxMin"/>
        </c:scaling>
        <c:delete val="0"/>
        <c:axPos val="l"/>
        <c:numFmt formatCode="General" sourceLinked="0"/>
        <c:majorTickMark val="out"/>
        <c:minorTickMark val="none"/>
        <c:tickLblPos val="low"/>
        <c:spPr>
          <a:ln>
            <a:noFill/>
          </a:ln>
        </c:spPr>
        <c:txPr>
          <a:bodyPr rot="0"/>
          <a:lstStyle/>
          <a:p>
            <a:pPr>
              <a:defRPr/>
            </a:pPr>
            <a:endParaRPr lang="en-US"/>
          </a:p>
        </c:txPr>
        <c:crossAx val="138477272"/>
        <c:crosses val="autoZero"/>
        <c:auto val="1"/>
        <c:lblAlgn val="ctr"/>
        <c:lblOffset val="100"/>
        <c:noMultiLvlLbl val="0"/>
      </c:catAx>
      <c:valAx>
        <c:axId val="138477272"/>
        <c:scaling>
          <c:orientation val="minMax"/>
        </c:scaling>
        <c:delete val="0"/>
        <c:axPos val="t"/>
        <c:majorGridlines/>
        <c:title>
          <c:tx>
            <c:rich>
              <a:bodyPr anchor="b" anchorCtr="0"/>
              <a:lstStyle/>
              <a:p>
                <a:pPr>
                  <a:defRPr/>
                </a:pPr>
                <a:r>
                  <a:rPr lang="en-US"/>
                  <a:t>Annual openings</a:t>
                </a:r>
              </a:p>
            </c:rich>
          </c:tx>
          <c:layout>
            <c:manualLayout>
              <c:xMode val="edge"/>
              <c:yMode val="edge"/>
              <c:x val="0.81650465234398895"/>
              <c:y val="0.94821971750343303"/>
            </c:manualLayout>
          </c:layout>
          <c:overlay val="0"/>
        </c:title>
        <c:numFmt formatCode="#,##0" sourceLinked="1"/>
        <c:majorTickMark val="out"/>
        <c:minorTickMark val="none"/>
        <c:tickLblPos val="high"/>
        <c:spPr>
          <a:ln>
            <a:noFill/>
          </a:ln>
        </c:spPr>
        <c:crossAx val="13862083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1407555068274693"/>
          <c:y val="1.9246738411977233E-2"/>
          <c:w val="0.54924200139539514"/>
          <c:h val="0.91538519787716022"/>
        </c:manualLayout>
      </c:layout>
      <c:barChart>
        <c:barDir val="bar"/>
        <c:grouping val="clustered"/>
        <c:varyColors val="0"/>
        <c:ser>
          <c:idx val="1"/>
          <c:order val="0"/>
          <c:tx>
            <c:strRef>
              <c:f>Tables!$AB$9</c:f>
              <c:strCache>
                <c:ptCount val="1"/>
                <c:pt idx="0">
                  <c:v>No. of Unempl.</c:v>
                </c:pt>
              </c:strCache>
            </c:strRef>
          </c:tx>
          <c:spPr>
            <a:solidFill>
              <a:schemeClr val="accent1"/>
            </a:solidFill>
          </c:spPr>
          <c:invertIfNegative val="0"/>
          <c:cat>
            <c:strRef>
              <c:f>Tables!$AA$10:$AA$30</c:f>
              <c:strCache>
                <c:ptCount val="21"/>
                <c:pt idx="0">
                  <c:v>Agriculture, Forestry, Fishing and Hunting</c:v>
                </c:pt>
                <c:pt idx="1">
                  <c:v>Mining, Quarrying, and Oil and Gas Extraction</c:v>
                </c:pt>
                <c:pt idx="2">
                  <c:v>Utilities</c:v>
                </c:pt>
                <c:pt idx="3">
                  <c:v>Construction</c:v>
                </c:pt>
                <c:pt idx="4">
                  <c:v>Manufacturing</c:v>
                </c:pt>
                <c:pt idx="5">
                  <c:v>Wholesale Trade</c:v>
                </c:pt>
                <c:pt idx="6">
                  <c:v>Retail Trade</c:v>
                </c:pt>
                <c:pt idx="7">
                  <c:v>Transportation and Warehousing</c:v>
                </c:pt>
                <c:pt idx="8">
                  <c:v>Information</c:v>
                </c:pt>
                <c:pt idx="9">
                  <c:v>Finance and Insurance</c:v>
                </c:pt>
                <c:pt idx="10">
                  <c:v>Real Estate and Rental and Leasing</c:v>
                </c:pt>
                <c:pt idx="11">
                  <c:v>Professional, Scientific, and Technical Services</c:v>
                </c:pt>
                <c:pt idx="12">
                  <c:v>Management of Companies and Enterprises</c:v>
                </c:pt>
                <c:pt idx="13">
                  <c:v>Administrative and Support and Waste Management and Remediation Services</c:v>
                </c:pt>
                <c:pt idx="14">
                  <c:v>Educational Services (Private)</c:v>
                </c:pt>
                <c:pt idx="15">
                  <c:v>Health Care and Social Assistance</c:v>
                </c:pt>
                <c:pt idx="16">
                  <c:v>Arts, Entertainment, and Recreation</c:v>
                </c:pt>
                <c:pt idx="17">
                  <c:v>Accommodation and Food Services</c:v>
                </c:pt>
                <c:pt idx="18">
                  <c:v>Other Services (except Public Administration)</c:v>
                </c:pt>
                <c:pt idx="19">
                  <c:v>Government</c:v>
                </c:pt>
                <c:pt idx="20">
                  <c:v>No Previous Work Experience/Unspecified</c:v>
                </c:pt>
              </c:strCache>
            </c:strRef>
          </c:cat>
          <c:val>
            <c:numRef>
              <c:f>Tables!$AB$10:$AB$30</c:f>
              <c:numCache>
                <c:formatCode>#,##0;[Red]\ \(#,##0\)</c:formatCode>
                <c:ptCount val="21"/>
                <c:pt idx="0">
                  <c:v>21212</c:v>
                </c:pt>
                <c:pt idx="1">
                  <c:v>13</c:v>
                </c:pt>
                <c:pt idx="2">
                  <c:v>420</c:v>
                </c:pt>
                <c:pt idx="3">
                  <c:v>4488</c:v>
                </c:pt>
                <c:pt idx="4">
                  <c:v>6804</c:v>
                </c:pt>
                <c:pt idx="5">
                  <c:v>154</c:v>
                </c:pt>
                <c:pt idx="6">
                  <c:v>8310</c:v>
                </c:pt>
                <c:pt idx="7">
                  <c:v>2135</c:v>
                </c:pt>
                <c:pt idx="8">
                  <c:v>1133</c:v>
                </c:pt>
                <c:pt idx="9">
                  <c:v>995</c:v>
                </c:pt>
                <c:pt idx="10">
                  <c:v>488</c:v>
                </c:pt>
                <c:pt idx="11">
                  <c:v>459</c:v>
                </c:pt>
                <c:pt idx="12">
                  <c:v>1</c:v>
                </c:pt>
                <c:pt idx="13">
                  <c:v>6615</c:v>
                </c:pt>
                <c:pt idx="14">
                  <c:v>619</c:v>
                </c:pt>
                <c:pt idx="15">
                  <c:v>4679</c:v>
                </c:pt>
                <c:pt idx="16">
                  <c:v>734</c:v>
                </c:pt>
                <c:pt idx="17">
                  <c:v>4289</c:v>
                </c:pt>
                <c:pt idx="18">
                  <c:v>2981</c:v>
                </c:pt>
                <c:pt idx="19">
                  <c:v>3577</c:v>
                </c:pt>
                <c:pt idx="20">
                  <c:v>15312</c:v>
                </c:pt>
              </c:numCache>
            </c:numRef>
          </c:val>
          <c:extLst xmlns:c16r2="http://schemas.microsoft.com/office/drawing/2015/06/chart">
            <c:ext xmlns:c16="http://schemas.microsoft.com/office/drawing/2014/chart" uri="{C3380CC4-5D6E-409C-BE32-E72D297353CC}">
              <c16:uniqueId val="{00000000-383C-4DDD-B1D2-9E3109BC07A1}"/>
            </c:ext>
          </c:extLst>
        </c:ser>
        <c:dLbls>
          <c:showLegendKey val="0"/>
          <c:showVal val="0"/>
          <c:showCatName val="0"/>
          <c:showSerName val="0"/>
          <c:showPercent val="0"/>
          <c:showBubbleSize val="0"/>
        </c:dLbls>
        <c:gapWidth val="150"/>
        <c:axId val="138604760"/>
        <c:axId val="104121240"/>
      </c:barChart>
      <c:catAx>
        <c:axId val="138604760"/>
        <c:scaling>
          <c:orientation val="maxMin"/>
        </c:scaling>
        <c:delete val="0"/>
        <c:axPos val="l"/>
        <c:numFmt formatCode="General" sourceLinked="1"/>
        <c:majorTickMark val="out"/>
        <c:minorTickMark val="none"/>
        <c:tickLblPos val="low"/>
        <c:crossAx val="104121240"/>
        <c:crosses val="autoZero"/>
        <c:auto val="1"/>
        <c:lblAlgn val="ctr"/>
        <c:lblOffset val="100"/>
        <c:noMultiLvlLbl val="0"/>
      </c:catAx>
      <c:valAx>
        <c:axId val="104121240"/>
        <c:scaling>
          <c:orientation val="minMax"/>
        </c:scaling>
        <c:delete val="0"/>
        <c:axPos val="t"/>
        <c:majorGridlines/>
        <c:numFmt formatCode="#,##0;[Red]\ \(#,##0\)" sourceLinked="1"/>
        <c:majorTickMark val="out"/>
        <c:minorTickMark val="none"/>
        <c:tickLblPos val="high"/>
        <c:crossAx val="1386047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6408069193939733"/>
          <c:y val="2.3399495600947191E-2"/>
          <c:w val="0.49929486302363862"/>
          <c:h val="0.91123244068819031"/>
        </c:manualLayout>
      </c:layout>
      <c:barChart>
        <c:barDir val="bar"/>
        <c:grouping val="clustered"/>
        <c:varyColors val="0"/>
        <c:ser>
          <c:idx val="0"/>
          <c:order val="0"/>
          <c:tx>
            <c:strRef>
              <c:f>Tables!$AB$76</c:f>
              <c:strCache>
                <c:ptCount val="1"/>
                <c:pt idx="0">
                  <c:v>No. of Unempl.</c:v>
                </c:pt>
              </c:strCache>
            </c:strRef>
          </c:tx>
          <c:invertIfNegative val="0"/>
          <c:cat>
            <c:strRef>
              <c:f>Tables!$AA$77:$AA$99</c:f>
              <c:strCache>
                <c:ptCount val="23"/>
                <c:pt idx="0">
                  <c:v>Management</c:v>
                </c:pt>
                <c:pt idx="1">
                  <c:v>Business and Financial Operations</c:v>
                </c:pt>
                <c:pt idx="2">
                  <c:v>Computer and Mathematical</c:v>
                </c:pt>
                <c:pt idx="3">
                  <c:v>Architecture and Engineering</c:v>
                </c:pt>
                <c:pt idx="4">
                  <c:v>Life, Physical, and Social Science</c:v>
                </c:pt>
                <c:pt idx="5">
                  <c:v>Community and Social Service</c:v>
                </c:pt>
                <c:pt idx="6">
                  <c:v>Legal</c:v>
                </c:pt>
                <c:pt idx="7">
                  <c:v>Education, Training, and Library</c:v>
                </c:pt>
                <c:pt idx="8">
                  <c:v>Arts, Design, Entertainment, Sports, and Media</c:v>
                </c:pt>
                <c:pt idx="9">
                  <c:v>Healthcare Practitioners and Technical</c:v>
                </c:pt>
                <c:pt idx="10">
                  <c:v>Healthcare Support</c:v>
                </c:pt>
                <c:pt idx="11">
                  <c:v>Protective Service</c:v>
                </c:pt>
                <c:pt idx="12">
                  <c:v>Food Preparation and Serving Related</c:v>
                </c:pt>
                <c:pt idx="13">
                  <c:v>Building and Grounds Cleaning and Maintenance</c:v>
                </c:pt>
                <c:pt idx="14">
                  <c:v>Personal Care and Service</c:v>
                </c:pt>
                <c:pt idx="15">
                  <c:v>Sales and Related</c:v>
                </c:pt>
                <c:pt idx="16">
                  <c:v>Office and Administrative Support</c:v>
                </c:pt>
                <c:pt idx="17">
                  <c:v>Farming, Fishing, and Forestry</c:v>
                </c:pt>
                <c:pt idx="18">
                  <c:v>Construction and Extraction</c:v>
                </c:pt>
                <c:pt idx="19">
                  <c:v>Installation, Maintenance, and Repair</c:v>
                </c:pt>
                <c:pt idx="20">
                  <c:v>Production</c:v>
                </c:pt>
                <c:pt idx="21">
                  <c:v>Transportation and Material Moving</c:v>
                </c:pt>
                <c:pt idx="22">
                  <c:v>No Previous Work Experience/Unspecified</c:v>
                </c:pt>
              </c:strCache>
            </c:strRef>
          </c:cat>
          <c:val>
            <c:numRef>
              <c:f>Tables!$AB$77:$AB$99</c:f>
              <c:numCache>
                <c:formatCode>#,##0;[Red]\ \(#,##0\)</c:formatCode>
                <c:ptCount val="23"/>
                <c:pt idx="0">
                  <c:v>2401</c:v>
                </c:pt>
                <c:pt idx="1">
                  <c:v>1039</c:v>
                </c:pt>
                <c:pt idx="2">
                  <c:v>766</c:v>
                </c:pt>
                <c:pt idx="3">
                  <c:v>233</c:v>
                </c:pt>
                <c:pt idx="4">
                  <c:v>4</c:v>
                </c:pt>
                <c:pt idx="5">
                  <c:v>571</c:v>
                </c:pt>
                <c:pt idx="6">
                  <c:v>200</c:v>
                </c:pt>
                <c:pt idx="7">
                  <c:v>19</c:v>
                </c:pt>
                <c:pt idx="8">
                  <c:v>499</c:v>
                </c:pt>
                <c:pt idx="9">
                  <c:v>872</c:v>
                </c:pt>
                <c:pt idx="10">
                  <c:v>1067</c:v>
                </c:pt>
                <c:pt idx="11">
                  <c:v>776</c:v>
                </c:pt>
                <c:pt idx="12">
                  <c:v>9607</c:v>
                </c:pt>
                <c:pt idx="13">
                  <c:v>2666</c:v>
                </c:pt>
                <c:pt idx="14">
                  <c:v>24</c:v>
                </c:pt>
                <c:pt idx="15">
                  <c:v>15608</c:v>
                </c:pt>
                <c:pt idx="16">
                  <c:v>6373</c:v>
                </c:pt>
                <c:pt idx="17">
                  <c:v>16866</c:v>
                </c:pt>
                <c:pt idx="18">
                  <c:v>53</c:v>
                </c:pt>
                <c:pt idx="19">
                  <c:v>1150</c:v>
                </c:pt>
                <c:pt idx="20">
                  <c:v>9194</c:v>
                </c:pt>
                <c:pt idx="21">
                  <c:v>4439</c:v>
                </c:pt>
                <c:pt idx="22">
                  <c:v>10988</c:v>
                </c:pt>
              </c:numCache>
            </c:numRef>
          </c:val>
          <c:extLst xmlns:c16r2="http://schemas.microsoft.com/office/drawing/2015/06/chart">
            <c:ext xmlns:c16="http://schemas.microsoft.com/office/drawing/2014/chart" uri="{C3380CC4-5D6E-409C-BE32-E72D297353CC}">
              <c16:uniqueId val="{00000000-D2A3-4E48-B809-4CDC1EF702D0}"/>
            </c:ext>
          </c:extLst>
        </c:ser>
        <c:dLbls>
          <c:showLegendKey val="0"/>
          <c:showVal val="0"/>
          <c:showCatName val="0"/>
          <c:showSerName val="0"/>
          <c:showPercent val="0"/>
          <c:showBubbleSize val="0"/>
        </c:dLbls>
        <c:gapWidth val="150"/>
        <c:axId val="136923144"/>
        <c:axId val="136923536"/>
      </c:barChart>
      <c:catAx>
        <c:axId val="136923144"/>
        <c:scaling>
          <c:orientation val="maxMin"/>
        </c:scaling>
        <c:delete val="0"/>
        <c:axPos val="l"/>
        <c:numFmt formatCode="General" sourceLinked="1"/>
        <c:majorTickMark val="out"/>
        <c:minorTickMark val="none"/>
        <c:tickLblPos val="low"/>
        <c:crossAx val="136923536"/>
        <c:crosses val="autoZero"/>
        <c:auto val="1"/>
        <c:lblAlgn val="ctr"/>
        <c:lblOffset val="100"/>
        <c:noMultiLvlLbl val="0"/>
      </c:catAx>
      <c:valAx>
        <c:axId val="136923536"/>
        <c:scaling>
          <c:orientation val="minMax"/>
        </c:scaling>
        <c:delete val="0"/>
        <c:axPos val="t"/>
        <c:majorGridlines/>
        <c:numFmt formatCode="#,##0;[Red]\ \(#,##0\)" sourceLinked="1"/>
        <c:majorTickMark val="out"/>
        <c:minorTickMark val="none"/>
        <c:tickLblPos val="high"/>
        <c:crossAx val="13692314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Tables!$AK$10</c:f>
              <c:strCache>
                <c:ptCount val="1"/>
                <c:pt idx="0">
                  <c:v>Less than HS diploma or equivalent</c:v>
                </c:pt>
              </c:strCache>
            </c:strRef>
          </c:tx>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Tables!$AL$19:$AM$19</c:f>
              <c:strCache>
                <c:ptCount val="2"/>
                <c:pt idx="0">
                  <c:v>Region</c:v>
                </c:pt>
                <c:pt idx="1">
                  <c:v>Nation</c:v>
                </c:pt>
              </c:strCache>
            </c:strRef>
          </c:cat>
          <c:val>
            <c:numRef>
              <c:f>Tables!$AL$20:$AM$20</c:f>
              <c:numCache>
                <c:formatCode>0%</c:formatCode>
                <c:ptCount val="2"/>
                <c:pt idx="0">
                  <c:v>0.31773470054177916</c:v>
                </c:pt>
                <c:pt idx="1">
                  <c:v>0.15831333726632243</c:v>
                </c:pt>
              </c:numCache>
            </c:numRef>
          </c:val>
          <c:extLst xmlns:c16r2="http://schemas.microsoft.com/office/drawing/2015/06/chart">
            <c:ext xmlns:c16="http://schemas.microsoft.com/office/drawing/2014/chart" uri="{C3380CC4-5D6E-409C-BE32-E72D297353CC}">
              <c16:uniqueId val="{00000000-7BCE-43C2-9686-292DA73F5260}"/>
            </c:ext>
          </c:extLst>
        </c:ser>
        <c:ser>
          <c:idx val="1"/>
          <c:order val="1"/>
          <c:tx>
            <c:strRef>
              <c:f>Tables!$AK$11</c:f>
              <c:strCache>
                <c:ptCount val="1"/>
                <c:pt idx="0">
                  <c:v>HS diploma or equivalent</c:v>
                </c:pt>
              </c:strCache>
            </c:strRef>
          </c:tx>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Tables!$AL$19:$AM$19</c:f>
              <c:strCache>
                <c:ptCount val="2"/>
                <c:pt idx="0">
                  <c:v>Region</c:v>
                </c:pt>
                <c:pt idx="1">
                  <c:v>Nation</c:v>
                </c:pt>
              </c:strCache>
            </c:strRef>
          </c:cat>
          <c:val>
            <c:numRef>
              <c:f>Tables!$AL$21:$AM$21</c:f>
              <c:numCache>
                <c:formatCode>0%</c:formatCode>
                <c:ptCount val="2"/>
                <c:pt idx="0">
                  <c:v>0.22152359392953044</c:v>
                </c:pt>
                <c:pt idx="1">
                  <c:v>0.27867232908451045</c:v>
                </c:pt>
              </c:numCache>
            </c:numRef>
          </c:val>
          <c:extLst xmlns:c16r2="http://schemas.microsoft.com/office/drawing/2015/06/chart">
            <c:ext xmlns:c16="http://schemas.microsoft.com/office/drawing/2014/chart" uri="{C3380CC4-5D6E-409C-BE32-E72D297353CC}">
              <c16:uniqueId val="{00000001-7BCE-43C2-9686-292DA73F5260}"/>
            </c:ext>
          </c:extLst>
        </c:ser>
        <c:ser>
          <c:idx val="2"/>
          <c:order val="2"/>
          <c:tx>
            <c:strRef>
              <c:f>Tables!$AK$12</c:f>
              <c:strCache>
                <c:ptCount val="1"/>
                <c:pt idx="0">
                  <c:v>Some college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Tables!$AL$19:$AM$19</c:f>
              <c:strCache>
                <c:ptCount val="2"/>
                <c:pt idx="0">
                  <c:v>Region</c:v>
                </c:pt>
                <c:pt idx="1">
                  <c:v>Nation</c:v>
                </c:pt>
              </c:strCache>
            </c:strRef>
          </c:cat>
          <c:val>
            <c:numRef>
              <c:f>Tables!$AL$22:$AM$22</c:f>
              <c:numCache>
                <c:formatCode>0%</c:formatCode>
                <c:ptCount val="2"/>
                <c:pt idx="0">
                  <c:v>0.22166371968888454</c:v>
                </c:pt>
                <c:pt idx="1">
                  <c:v>0.20949569838836093</c:v>
                </c:pt>
              </c:numCache>
            </c:numRef>
          </c:val>
          <c:extLst xmlns:c16r2="http://schemas.microsoft.com/office/drawing/2015/06/chart">
            <c:ext xmlns:c16="http://schemas.microsoft.com/office/drawing/2014/chart" uri="{C3380CC4-5D6E-409C-BE32-E72D297353CC}">
              <c16:uniqueId val="{00000002-7BCE-43C2-9686-292DA73F5260}"/>
            </c:ext>
          </c:extLst>
        </c:ser>
        <c:ser>
          <c:idx val="3"/>
          <c:order val="3"/>
          <c:tx>
            <c:strRef>
              <c:f>Tables!$AK$13</c:f>
              <c:strCache>
                <c:ptCount val="1"/>
                <c:pt idx="0">
                  <c:v>Associate's degree</c:v>
                </c:pt>
              </c:strCache>
            </c:strRef>
          </c:tx>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Tables!$AL$19:$AM$19</c:f>
              <c:strCache>
                <c:ptCount val="2"/>
                <c:pt idx="0">
                  <c:v>Region</c:v>
                </c:pt>
                <c:pt idx="1">
                  <c:v>Nation</c:v>
                </c:pt>
              </c:strCache>
            </c:strRef>
          </c:cat>
          <c:val>
            <c:numRef>
              <c:f>Tables!$AL$23:$AM$23</c:f>
              <c:numCache>
                <c:formatCode>0%</c:formatCode>
                <c:ptCount val="2"/>
                <c:pt idx="0">
                  <c:v>7.606123445159417E-2</c:v>
                </c:pt>
                <c:pt idx="1">
                  <c:v>7.4677174402204685E-2</c:v>
                </c:pt>
              </c:numCache>
            </c:numRef>
          </c:val>
          <c:extLst xmlns:c16r2="http://schemas.microsoft.com/office/drawing/2015/06/chart">
            <c:ext xmlns:c16="http://schemas.microsoft.com/office/drawing/2014/chart" uri="{C3380CC4-5D6E-409C-BE32-E72D297353CC}">
              <c16:uniqueId val="{00000003-7BCE-43C2-9686-292DA73F5260}"/>
            </c:ext>
          </c:extLst>
        </c:ser>
        <c:ser>
          <c:idx val="4"/>
          <c:order val="4"/>
          <c:tx>
            <c:strRef>
              <c:f>Tables!$AK$14</c:f>
              <c:strCache>
                <c:ptCount val="1"/>
                <c:pt idx="0">
                  <c:v>Bachelor's degree</c:v>
                </c:pt>
              </c:strCache>
            </c:strRef>
          </c:tx>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Tables!$AL$19:$AM$19</c:f>
              <c:strCache>
                <c:ptCount val="2"/>
                <c:pt idx="0">
                  <c:v>Region</c:v>
                </c:pt>
                <c:pt idx="1">
                  <c:v>Nation</c:v>
                </c:pt>
              </c:strCache>
            </c:strRef>
          </c:cat>
          <c:val>
            <c:numRef>
              <c:f>Tables!$AL$24:$AM$24</c:f>
              <c:numCache>
                <c:formatCode>0%</c:formatCode>
                <c:ptCount val="2"/>
                <c:pt idx="0">
                  <c:v>0.11175292503385323</c:v>
                </c:pt>
                <c:pt idx="1">
                  <c:v>0.17553753042500375</c:v>
                </c:pt>
              </c:numCache>
            </c:numRef>
          </c:val>
          <c:extLst xmlns:c16r2="http://schemas.microsoft.com/office/drawing/2015/06/chart">
            <c:ext xmlns:c16="http://schemas.microsoft.com/office/drawing/2014/chart" uri="{C3380CC4-5D6E-409C-BE32-E72D297353CC}">
              <c16:uniqueId val="{00000004-7BCE-43C2-9686-292DA73F5260}"/>
            </c:ext>
          </c:extLst>
        </c:ser>
        <c:ser>
          <c:idx val="5"/>
          <c:order val="5"/>
          <c:tx>
            <c:strRef>
              <c:f>Tables!$AK$15</c:f>
              <c:strCache>
                <c:ptCount val="1"/>
                <c:pt idx="0">
                  <c:v>Graduate degree and higher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Tables!$AL$19:$AM$19</c:f>
              <c:strCache>
                <c:ptCount val="2"/>
                <c:pt idx="0">
                  <c:v>Region</c:v>
                </c:pt>
                <c:pt idx="1">
                  <c:v>Nation</c:v>
                </c:pt>
              </c:strCache>
            </c:strRef>
          </c:cat>
          <c:val>
            <c:numRef>
              <c:f>Tables!$AL$25:$AM$25</c:f>
              <c:numCache>
                <c:formatCode>0%</c:formatCode>
                <c:ptCount val="2"/>
                <c:pt idx="0">
                  <c:v>5.1263826354358472E-2</c:v>
                </c:pt>
                <c:pt idx="1">
                  <c:v>0.10330393043359763</c:v>
                </c:pt>
              </c:numCache>
            </c:numRef>
          </c:val>
          <c:extLst xmlns:c16r2="http://schemas.microsoft.com/office/drawing/2015/06/chart">
            <c:ext xmlns:c16="http://schemas.microsoft.com/office/drawing/2014/chart" uri="{C3380CC4-5D6E-409C-BE32-E72D297353CC}">
              <c16:uniqueId val="{00000005-7BCE-43C2-9686-292DA73F5260}"/>
            </c:ext>
          </c:extLst>
        </c:ser>
        <c:dLbls>
          <c:showLegendKey val="0"/>
          <c:showVal val="0"/>
          <c:showCatName val="0"/>
          <c:showSerName val="0"/>
          <c:showPercent val="0"/>
          <c:showBubbleSize val="0"/>
        </c:dLbls>
        <c:gapWidth val="100"/>
        <c:overlap val="100"/>
        <c:axId val="138574096"/>
        <c:axId val="138574488"/>
      </c:barChart>
      <c:catAx>
        <c:axId val="138574096"/>
        <c:scaling>
          <c:orientation val="minMax"/>
        </c:scaling>
        <c:delete val="0"/>
        <c:axPos val="b"/>
        <c:numFmt formatCode="General" sourceLinked="0"/>
        <c:majorTickMark val="out"/>
        <c:minorTickMark val="none"/>
        <c:tickLblPos val="nextTo"/>
        <c:crossAx val="138574488"/>
        <c:crosses val="autoZero"/>
        <c:auto val="1"/>
        <c:lblAlgn val="ctr"/>
        <c:lblOffset val="100"/>
        <c:noMultiLvlLbl val="0"/>
      </c:catAx>
      <c:valAx>
        <c:axId val="138574488"/>
        <c:scaling>
          <c:orientation val="minMax"/>
        </c:scaling>
        <c:delete val="0"/>
        <c:axPos val="l"/>
        <c:majorGridlines/>
        <c:numFmt formatCode="0%" sourceLinked="1"/>
        <c:majorTickMark val="out"/>
        <c:minorTickMark val="none"/>
        <c:tickLblPos val="nextTo"/>
        <c:crossAx val="138574096"/>
        <c:crosses val="autoZero"/>
        <c:crossBetween val="between"/>
      </c:valAx>
    </c:plotArea>
    <c:legend>
      <c:legendPos val="r"/>
      <c:layout>
        <c:manualLayout>
          <c:xMode val="edge"/>
          <c:yMode val="edge"/>
          <c:x val="0.67959006159277358"/>
          <c:y val="0.18564704374926985"/>
          <c:w val="0.30875511074952561"/>
          <c:h val="0.56730846144231983"/>
        </c:manualLayout>
      </c:layout>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Tables!$AK$53</c:f>
              <c:strCache>
                <c:ptCount val="1"/>
                <c:pt idx="0">
                  <c:v>Less than HS diploma or equivalent</c:v>
                </c:pt>
              </c:strCache>
            </c:strRef>
          </c:tx>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(Tables!$AL$52,Tables!$AN$52)</c:f>
              <c:strCache>
                <c:ptCount val="2"/>
                <c:pt idx="0">
                  <c:v>Males</c:v>
                </c:pt>
                <c:pt idx="1">
                  <c:v>Females</c:v>
                </c:pt>
              </c:strCache>
            </c:strRef>
          </c:cat>
          <c:val>
            <c:numRef>
              <c:f>(Tables!$AM$53,Tables!$AO$53)</c:f>
              <c:numCache>
                <c:formatCode>0%</c:formatCode>
                <c:ptCount val="2"/>
                <c:pt idx="0">
                  <c:v>0.33868715937418259</c:v>
                </c:pt>
                <c:pt idx="1">
                  <c:v>0.29697919776044857</c:v>
                </c:pt>
              </c:numCache>
            </c:numRef>
          </c:val>
          <c:extLst xmlns:c16r2="http://schemas.microsoft.com/office/drawing/2015/06/chart">
            <c:ext xmlns:c16="http://schemas.microsoft.com/office/drawing/2014/chart" uri="{C3380CC4-5D6E-409C-BE32-E72D297353CC}">
              <c16:uniqueId val="{00000000-ED47-4FAE-A4AB-ECB44E0B8D38}"/>
            </c:ext>
          </c:extLst>
        </c:ser>
        <c:ser>
          <c:idx val="1"/>
          <c:order val="1"/>
          <c:tx>
            <c:strRef>
              <c:f>Tables!$AK$54</c:f>
              <c:strCache>
                <c:ptCount val="1"/>
                <c:pt idx="0">
                  <c:v>HS diploma or equivalent</c:v>
                </c:pt>
              </c:strCache>
            </c:strRef>
          </c:tx>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(Tables!$AL$52,Tables!$AN$52)</c:f>
              <c:strCache>
                <c:ptCount val="2"/>
                <c:pt idx="0">
                  <c:v>Males</c:v>
                </c:pt>
                <c:pt idx="1">
                  <c:v>Females</c:v>
                </c:pt>
              </c:strCache>
            </c:strRef>
          </c:cat>
          <c:val>
            <c:numRef>
              <c:f>(Tables!$AM$54,Tables!$AO$54)</c:f>
              <c:numCache>
                <c:formatCode>0%</c:formatCode>
                <c:ptCount val="2"/>
                <c:pt idx="0">
                  <c:v>0.21975342313825841</c:v>
                </c:pt>
                <c:pt idx="1">
                  <c:v>0.22327712486714316</c:v>
                </c:pt>
              </c:numCache>
            </c:numRef>
          </c:val>
          <c:extLst xmlns:c16r2="http://schemas.microsoft.com/office/drawing/2015/06/chart">
            <c:ext xmlns:c16="http://schemas.microsoft.com/office/drawing/2014/chart" uri="{C3380CC4-5D6E-409C-BE32-E72D297353CC}">
              <c16:uniqueId val="{00000001-ED47-4FAE-A4AB-ECB44E0B8D38}"/>
            </c:ext>
          </c:extLst>
        </c:ser>
        <c:ser>
          <c:idx val="2"/>
          <c:order val="2"/>
          <c:tx>
            <c:strRef>
              <c:f>Tables!$AK$55</c:f>
              <c:strCache>
                <c:ptCount val="1"/>
                <c:pt idx="0">
                  <c:v>Some college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(Tables!$AL$52,Tables!$AN$52)</c:f>
              <c:strCache>
                <c:ptCount val="2"/>
                <c:pt idx="0">
                  <c:v>Males</c:v>
                </c:pt>
                <c:pt idx="1">
                  <c:v>Females</c:v>
                </c:pt>
              </c:strCache>
            </c:strRef>
          </c:cat>
          <c:val>
            <c:numRef>
              <c:f>(Tables!$AM$55,Tables!$AO$55)</c:f>
              <c:numCache>
                <c:formatCode>0%</c:formatCode>
                <c:ptCount val="2"/>
                <c:pt idx="0">
                  <c:v>0.21431166159318923</c:v>
                </c:pt>
                <c:pt idx="1">
                  <c:v>0.22894666740754166</c:v>
                </c:pt>
              </c:numCache>
            </c:numRef>
          </c:val>
          <c:extLst xmlns:c16r2="http://schemas.microsoft.com/office/drawing/2015/06/chart">
            <c:ext xmlns:c16="http://schemas.microsoft.com/office/drawing/2014/chart" uri="{C3380CC4-5D6E-409C-BE32-E72D297353CC}">
              <c16:uniqueId val="{00000002-ED47-4FAE-A4AB-ECB44E0B8D38}"/>
            </c:ext>
          </c:extLst>
        </c:ser>
        <c:ser>
          <c:idx val="3"/>
          <c:order val="3"/>
          <c:tx>
            <c:strRef>
              <c:f>Tables!$AK$56</c:f>
              <c:strCache>
                <c:ptCount val="1"/>
                <c:pt idx="0">
                  <c:v>Associate's degree</c:v>
                </c:pt>
              </c:strCache>
            </c:strRef>
          </c:tx>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(Tables!$AL$52,Tables!$AN$52)</c:f>
              <c:strCache>
                <c:ptCount val="2"/>
                <c:pt idx="0">
                  <c:v>Males</c:v>
                </c:pt>
                <c:pt idx="1">
                  <c:v>Females</c:v>
                </c:pt>
              </c:strCache>
            </c:strRef>
          </c:cat>
          <c:val>
            <c:numRef>
              <c:f>(Tables!$AM$56,Tables!$AO$56)</c:f>
              <c:numCache>
                <c:formatCode>0%</c:formatCode>
                <c:ptCount val="2"/>
                <c:pt idx="0">
                  <c:v>7.1028179914650658E-2</c:v>
                </c:pt>
                <c:pt idx="1">
                  <c:v>8.1046977570132808E-2</c:v>
                </c:pt>
              </c:numCache>
            </c:numRef>
          </c:val>
          <c:extLst xmlns:c16r2="http://schemas.microsoft.com/office/drawing/2015/06/chart">
            <c:ext xmlns:c16="http://schemas.microsoft.com/office/drawing/2014/chart" uri="{C3380CC4-5D6E-409C-BE32-E72D297353CC}">
              <c16:uniqueId val="{00000003-ED47-4FAE-A4AB-ECB44E0B8D38}"/>
            </c:ext>
          </c:extLst>
        </c:ser>
        <c:ser>
          <c:idx val="4"/>
          <c:order val="4"/>
          <c:tx>
            <c:strRef>
              <c:f>Tables!$AK$57</c:f>
              <c:strCache>
                <c:ptCount val="1"/>
                <c:pt idx="0">
                  <c:v>Bachelor's degree</c:v>
                </c:pt>
              </c:strCache>
            </c:strRef>
          </c:tx>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(Tables!$AL$52,Tables!$AN$52)</c:f>
              <c:strCache>
                <c:ptCount val="2"/>
                <c:pt idx="0">
                  <c:v>Males</c:v>
                </c:pt>
                <c:pt idx="1">
                  <c:v>Females</c:v>
                </c:pt>
              </c:strCache>
            </c:strRef>
          </c:cat>
          <c:val>
            <c:numRef>
              <c:f>(Tables!$AM$57,Tables!$AO$57)</c:f>
              <c:numCache>
                <c:formatCode>0%</c:formatCode>
                <c:ptCount val="2"/>
                <c:pt idx="0">
                  <c:v>0.1032392501735907</c:v>
                </c:pt>
                <c:pt idx="1">
                  <c:v>0.12018657015660345</c:v>
                </c:pt>
              </c:numCache>
            </c:numRef>
          </c:val>
          <c:extLst xmlns:c16r2="http://schemas.microsoft.com/office/drawing/2015/06/chart">
            <c:ext xmlns:c16="http://schemas.microsoft.com/office/drawing/2014/chart" uri="{C3380CC4-5D6E-409C-BE32-E72D297353CC}">
              <c16:uniqueId val="{00000004-ED47-4FAE-A4AB-ECB44E0B8D38}"/>
            </c:ext>
          </c:extLst>
        </c:ser>
        <c:ser>
          <c:idx val="5"/>
          <c:order val="5"/>
          <c:tx>
            <c:strRef>
              <c:f>Tables!$AK$58</c:f>
              <c:strCache>
                <c:ptCount val="1"/>
                <c:pt idx="0">
                  <c:v>Graduate degree and higher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(Tables!$AL$52,Tables!$AN$52)</c:f>
              <c:strCache>
                <c:ptCount val="2"/>
                <c:pt idx="0">
                  <c:v>Males</c:v>
                </c:pt>
                <c:pt idx="1">
                  <c:v>Females</c:v>
                </c:pt>
              </c:strCache>
            </c:strRef>
          </c:cat>
          <c:val>
            <c:numRef>
              <c:f>(Tables!$AM$58,Tables!$AO$58)</c:f>
              <c:numCache>
                <c:formatCode>0%</c:formatCode>
                <c:ptCount val="2"/>
                <c:pt idx="0">
                  <c:v>5.2980325806128443E-2</c:v>
                </c:pt>
                <c:pt idx="1">
                  <c:v>4.9563462238130435E-2</c:v>
                </c:pt>
              </c:numCache>
            </c:numRef>
          </c:val>
          <c:extLst xmlns:c16r2="http://schemas.microsoft.com/office/drawing/2015/06/chart">
            <c:ext xmlns:c16="http://schemas.microsoft.com/office/drawing/2014/chart" uri="{C3380CC4-5D6E-409C-BE32-E72D297353CC}">
              <c16:uniqueId val="{00000005-ED47-4FAE-A4AB-ECB44E0B8D38}"/>
            </c:ext>
          </c:extLst>
        </c:ser>
        <c:dLbls>
          <c:showLegendKey val="0"/>
          <c:showVal val="0"/>
          <c:showCatName val="0"/>
          <c:showSerName val="0"/>
          <c:showPercent val="0"/>
          <c:showBubbleSize val="0"/>
        </c:dLbls>
        <c:gapWidth val="150"/>
        <c:overlap val="100"/>
        <c:axId val="138575664"/>
        <c:axId val="138576056"/>
      </c:barChart>
      <c:catAx>
        <c:axId val="138575664"/>
        <c:scaling>
          <c:orientation val="minMax"/>
        </c:scaling>
        <c:delete val="0"/>
        <c:axPos val="b"/>
        <c:numFmt formatCode="General" sourceLinked="0"/>
        <c:majorTickMark val="out"/>
        <c:minorTickMark val="none"/>
        <c:tickLblPos val="nextTo"/>
        <c:crossAx val="138576056"/>
        <c:crosses val="autoZero"/>
        <c:auto val="1"/>
        <c:lblAlgn val="ctr"/>
        <c:lblOffset val="100"/>
        <c:noMultiLvlLbl val="0"/>
      </c:catAx>
      <c:valAx>
        <c:axId val="138576056"/>
        <c:scaling>
          <c:orientation val="minMax"/>
          <c:max val="1"/>
        </c:scaling>
        <c:delete val="0"/>
        <c:axPos val="l"/>
        <c:majorGridlines/>
        <c:numFmt formatCode="0%" sourceLinked="1"/>
        <c:majorTickMark val="out"/>
        <c:minorTickMark val="none"/>
        <c:tickLblPos val="nextTo"/>
        <c:crossAx val="1385756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002223126364525"/>
          <c:y val="4.0506329113924051E-2"/>
          <c:w val="0.59371468194135313"/>
          <c:h val="0.70532370953630796"/>
        </c:manualLayout>
      </c:layout>
      <c:barChart>
        <c:barDir val="bar"/>
        <c:grouping val="stacked"/>
        <c:varyColors val="0"/>
        <c:ser>
          <c:idx val="0"/>
          <c:order val="0"/>
          <c:tx>
            <c:strRef>
              <c:f>Tables!$AK$105</c:f>
              <c:strCache>
                <c:ptCount val="1"/>
                <c:pt idx="0">
                  <c:v>Less than HS diploma or equivalent</c:v>
                </c:pt>
              </c:strCache>
            </c:strRef>
          </c:tx>
          <c:invertIfNegative val="0"/>
          <c:cat>
            <c:strRef>
              <c:f>Tables!$AL$104:$AR$104</c:f>
              <c:strCache>
                <c:ptCount val="7"/>
                <c:pt idx="0">
                  <c:v>White, Non-Hispanic</c:v>
                </c:pt>
                <c:pt idx="1">
                  <c:v>Black, Non-Hispanic</c:v>
                </c:pt>
                <c:pt idx="2">
                  <c:v>American Indian or Alaskan Native, Non-Hispanic</c:v>
                </c:pt>
                <c:pt idx="3">
                  <c:v>Asian, Non-Hispanic</c:v>
                </c:pt>
                <c:pt idx="4">
                  <c:v>Native Hawaiian or Pacific Islander, Non-Hispanic</c:v>
                </c:pt>
                <c:pt idx="5">
                  <c:v>Two or More Races, Non-Hispanic</c:v>
                </c:pt>
                <c:pt idx="6">
                  <c:v>Hispanic, All Types</c:v>
                </c:pt>
              </c:strCache>
            </c:strRef>
          </c:cat>
          <c:val>
            <c:numRef>
              <c:f>Tables!$AL$105:$AR$105</c:f>
              <c:numCache>
                <c:formatCode>0%</c:formatCode>
                <c:ptCount val="7"/>
                <c:pt idx="0">
                  <c:v>0.10883744917284277</c:v>
                </c:pt>
                <c:pt idx="1">
                  <c:v>0.21138740398633576</c:v>
                </c:pt>
                <c:pt idx="2">
                  <c:v>0.3373041975784169</c:v>
                </c:pt>
                <c:pt idx="3">
                  <c:v>0.25617519335214445</c:v>
                </c:pt>
                <c:pt idx="4">
                  <c:v>0.14866502777498225</c:v>
                </c:pt>
                <c:pt idx="5">
                  <c:v>0.26941511990784139</c:v>
                </c:pt>
                <c:pt idx="6">
                  <c:v>0.50535090751472023</c:v>
                </c:pt>
              </c:numCache>
            </c:numRef>
          </c:val>
          <c:extLst xmlns:c16r2="http://schemas.microsoft.com/office/drawing/2015/06/chart">
            <c:ext xmlns:c16="http://schemas.microsoft.com/office/drawing/2014/chart" uri="{C3380CC4-5D6E-409C-BE32-E72D297353CC}">
              <c16:uniqueId val="{00000000-D846-47FA-B6E3-08257DD2D503}"/>
            </c:ext>
          </c:extLst>
        </c:ser>
        <c:ser>
          <c:idx val="1"/>
          <c:order val="1"/>
          <c:tx>
            <c:strRef>
              <c:f>Tables!$AK$106</c:f>
              <c:strCache>
                <c:ptCount val="1"/>
                <c:pt idx="0">
                  <c:v>HS diploma or equivalent</c:v>
                </c:pt>
              </c:strCache>
            </c:strRef>
          </c:tx>
          <c:invertIfNegative val="0"/>
          <c:cat>
            <c:strRef>
              <c:f>Tables!$AL$104:$AR$104</c:f>
              <c:strCache>
                <c:ptCount val="7"/>
                <c:pt idx="0">
                  <c:v>White, Non-Hispanic</c:v>
                </c:pt>
                <c:pt idx="1">
                  <c:v>Black, Non-Hispanic</c:v>
                </c:pt>
                <c:pt idx="2">
                  <c:v>American Indian or Alaskan Native, Non-Hispanic</c:v>
                </c:pt>
                <c:pt idx="3">
                  <c:v>Asian, Non-Hispanic</c:v>
                </c:pt>
                <c:pt idx="4">
                  <c:v>Native Hawaiian or Pacific Islander, Non-Hispanic</c:v>
                </c:pt>
                <c:pt idx="5">
                  <c:v>Two or More Races, Non-Hispanic</c:v>
                </c:pt>
                <c:pt idx="6">
                  <c:v>Hispanic, All Types</c:v>
                </c:pt>
              </c:strCache>
            </c:strRef>
          </c:cat>
          <c:val>
            <c:numRef>
              <c:f>Tables!$AL$106:$AR$106</c:f>
              <c:numCache>
                <c:formatCode>0%</c:formatCode>
                <c:ptCount val="7"/>
                <c:pt idx="0">
                  <c:v>0.24596650374922321</c:v>
                </c:pt>
                <c:pt idx="1">
                  <c:v>0.27476765934051584</c:v>
                </c:pt>
                <c:pt idx="2">
                  <c:v>0.27036706119100673</c:v>
                </c:pt>
                <c:pt idx="3">
                  <c:v>0.14643598074063238</c:v>
                </c:pt>
                <c:pt idx="4">
                  <c:v>0.24452929036552573</c:v>
                </c:pt>
                <c:pt idx="5">
                  <c:v>0.21112942879753827</c:v>
                </c:pt>
                <c:pt idx="6">
                  <c:v>0.20765488950680414</c:v>
                </c:pt>
              </c:numCache>
            </c:numRef>
          </c:val>
          <c:extLst xmlns:c16r2="http://schemas.microsoft.com/office/drawing/2015/06/chart">
            <c:ext xmlns:c16="http://schemas.microsoft.com/office/drawing/2014/chart" uri="{C3380CC4-5D6E-409C-BE32-E72D297353CC}">
              <c16:uniqueId val="{00000001-D846-47FA-B6E3-08257DD2D503}"/>
            </c:ext>
          </c:extLst>
        </c:ser>
        <c:ser>
          <c:idx val="2"/>
          <c:order val="2"/>
          <c:tx>
            <c:strRef>
              <c:f>Tables!$AK$107</c:f>
              <c:strCache>
                <c:ptCount val="1"/>
                <c:pt idx="0">
                  <c:v>Some college</c:v>
                </c:pt>
              </c:strCache>
            </c:strRef>
          </c:tx>
          <c:invertIfNegative val="0"/>
          <c:cat>
            <c:strRef>
              <c:f>Tables!$AL$104:$AR$104</c:f>
              <c:strCache>
                <c:ptCount val="7"/>
                <c:pt idx="0">
                  <c:v>White, Non-Hispanic</c:v>
                </c:pt>
                <c:pt idx="1">
                  <c:v>Black, Non-Hispanic</c:v>
                </c:pt>
                <c:pt idx="2">
                  <c:v>American Indian or Alaskan Native, Non-Hispanic</c:v>
                </c:pt>
                <c:pt idx="3">
                  <c:v>Asian, Non-Hispanic</c:v>
                </c:pt>
                <c:pt idx="4">
                  <c:v>Native Hawaiian or Pacific Islander, Non-Hispanic</c:v>
                </c:pt>
                <c:pt idx="5">
                  <c:v>Two or More Races, Non-Hispanic</c:v>
                </c:pt>
                <c:pt idx="6">
                  <c:v>Hispanic, All Types</c:v>
                </c:pt>
              </c:strCache>
            </c:strRef>
          </c:cat>
          <c:val>
            <c:numRef>
              <c:f>Tables!$AL$107:$AR$107</c:f>
              <c:numCache>
                <c:formatCode>0%</c:formatCode>
                <c:ptCount val="7"/>
                <c:pt idx="0">
                  <c:v>0.28777396611983219</c:v>
                </c:pt>
                <c:pt idx="1">
                  <c:v>0.28676803995934141</c:v>
                </c:pt>
                <c:pt idx="2">
                  <c:v>0.23389189581855888</c:v>
                </c:pt>
                <c:pt idx="3">
                  <c:v>0.16265587771898118</c:v>
                </c:pt>
                <c:pt idx="4">
                  <c:v>0.18069634062999246</c:v>
                </c:pt>
                <c:pt idx="5">
                  <c:v>0.27502632294626828</c:v>
                </c:pt>
                <c:pt idx="6">
                  <c:v>0.16995855813892333</c:v>
                </c:pt>
              </c:numCache>
            </c:numRef>
          </c:val>
          <c:extLst xmlns:c16r2="http://schemas.microsoft.com/office/drawing/2015/06/chart">
            <c:ext xmlns:c16="http://schemas.microsoft.com/office/drawing/2014/chart" uri="{C3380CC4-5D6E-409C-BE32-E72D297353CC}">
              <c16:uniqueId val="{00000002-D846-47FA-B6E3-08257DD2D503}"/>
            </c:ext>
          </c:extLst>
        </c:ser>
        <c:ser>
          <c:idx val="3"/>
          <c:order val="3"/>
          <c:tx>
            <c:strRef>
              <c:f>Tables!$AK$108</c:f>
              <c:strCache>
                <c:ptCount val="1"/>
                <c:pt idx="0">
                  <c:v>Associate's degree</c:v>
                </c:pt>
              </c:strCache>
            </c:strRef>
          </c:tx>
          <c:invertIfNegative val="0"/>
          <c:cat>
            <c:strRef>
              <c:f>Tables!$AL$104:$AR$104</c:f>
              <c:strCache>
                <c:ptCount val="7"/>
                <c:pt idx="0">
                  <c:v>White, Non-Hispanic</c:v>
                </c:pt>
                <c:pt idx="1">
                  <c:v>Black, Non-Hispanic</c:v>
                </c:pt>
                <c:pt idx="2">
                  <c:v>American Indian or Alaskan Native, Non-Hispanic</c:v>
                </c:pt>
                <c:pt idx="3">
                  <c:v>Asian, Non-Hispanic</c:v>
                </c:pt>
                <c:pt idx="4">
                  <c:v>Native Hawaiian or Pacific Islander, Non-Hispanic</c:v>
                </c:pt>
                <c:pt idx="5">
                  <c:v>Two or More Races, Non-Hispanic</c:v>
                </c:pt>
                <c:pt idx="6">
                  <c:v>Hispanic, All Types</c:v>
                </c:pt>
              </c:strCache>
            </c:strRef>
          </c:cat>
          <c:val>
            <c:numRef>
              <c:f>Tables!$AL$108:$AR$108</c:f>
              <c:numCache>
                <c:formatCode>0%</c:formatCode>
                <c:ptCount val="7"/>
                <c:pt idx="0">
                  <c:v>0.10180594433601248</c:v>
                </c:pt>
                <c:pt idx="1">
                  <c:v>8.457178162352047E-2</c:v>
                </c:pt>
                <c:pt idx="2">
                  <c:v>4.9599663164239458E-2</c:v>
                </c:pt>
                <c:pt idx="3">
                  <c:v>9.3271234708126413E-2</c:v>
                </c:pt>
                <c:pt idx="4">
                  <c:v>4.2780018821219512E-2</c:v>
                </c:pt>
                <c:pt idx="5">
                  <c:v>7.9896297591698348E-2</c:v>
                </c:pt>
                <c:pt idx="6">
                  <c:v>5.251196312792164E-2</c:v>
                </c:pt>
              </c:numCache>
            </c:numRef>
          </c:val>
          <c:extLst xmlns:c16r2="http://schemas.microsoft.com/office/drawing/2015/06/chart">
            <c:ext xmlns:c16="http://schemas.microsoft.com/office/drawing/2014/chart" uri="{C3380CC4-5D6E-409C-BE32-E72D297353CC}">
              <c16:uniqueId val="{00000003-D846-47FA-B6E3-08257DD2D503}"/>
            </c:ext>
          </c:extLst>
        </c:ser>
        <c:ser>
          <c:idx val="4"/>
          <c:order val="4"/>
          <c:tx>
            <c:strRef>
              <c:f>Tables!$AK$109</c:f>
              <c:strCache>
                <c:ptCount val="1"/>
                <c:pt idx="0">
                  <c:v>Bachelor's degree</c:v>
                </c:pt>
              </c:strCache>
            </c:strRef>
          </c:tx>
          <c:invertIfNegative val="0"/>
          <c:cat>
            <c:strRef>
              <c:f>Tables!$AL$104:$AR$104</c:f>
              <c:strCache>
                <c:ptCount val="7"/>
                <c:pt idx="0">
                  <c:v>White, Non-Hispanic</c:v>
                </c:pt>
                <c:pt idx="1">
                  <c:v>Black, Non-Hispanic</c:v>
                </c:pt>
                <c:pt idx="2">
                  <c:v>American Indian or Alaskan Native, Non-Hispanic</c:v>
                </c:pt>
                <c:pt idx="3">
                  <c:v>Asian, Non-Hispanic</c:v>
                </c:pt>
                <c:pt idx="4">
                  <c:v>Native Hawaiian or Pacific Islander, Non-Hispanic</c:v>
                </c:pt>
                <c:pt idx="5">
                  <c:v>Two or More Races, Non-Hispanic</c:v>
                </c:pt>
                <c:pt idx="6">
                  <c:v>Hispanic, All Types</c:v>
                </c:pt>
              </c:strCache>
            </c:strRef>
          </c:cat>
          <c:val>
            <c:numRef>
              <c:f>Tables!$AL$109:$AR$109</c:f>
              <c:numCache>
                <c:formatCode>0%</c:formatCode>
                <c:ptCount val="7"/>
                <c:pt idx="0">
                  <c:v>0.16868401646440132</c:v>
                </c:pt>
                <c:pt idx="1">
                  <c:v>9.4245609220939053E-2</c:v>
                </c:pt>
                <c:pt idx="2">
                  <c:v>8.1047734984040332E-2</c:v>
                </c:pt>
                <c:pt idx="3">
                  <c:v>0.24137725934671225</c:v>
                </c:pt>
                <c:pt idx="4">
                  <c:v>0.33052743277462937</c:v>
                </c:pt>
                <c:pt idx="5">
                  <c:v>0.11686307561356298</c:v>
                </c:pt>
                <c:pt idx="6">
                  <c:v>4.836056980895747E-2</c:v>
                </c:pt>
              </c:numCache>
            </c:numRef>
          </c:val>
          <c:extLst xmlns:c16r2="http://schemas.microsoft.com/office/drawing/2015/06/chart">
            <c:ext xmlns:c16="http://schemas.microsoft.com/office/drawing/2014/chart" uri="{C3380CC4-5D6E-409C-BE32-E72D297353CC}">
              <c16:uniqueId val="{00000004-D846-47FA-B6E3-08257DD2D503}"/>
            </c:ext>
          </c:extLst>
        </c:ser>
        <c:ser>
          <c:idx val="5"/>
          <c:order val="5"/>
          <c:tx>
            <c:strRef>
              <c:f>Tables!$AK$110</c:f>
              <c:strCache>
                <c:ptCount val="1"/>
                <c:pt idx="0">
                  <c:v>Graduate degree and higher</c:v>
                </c:pt>
              </c:strCache>
            </c:strRef>
          </c:tx>
          <c:invertIfNegative val="0"/>
          <c:cat>
            <c:strRef>
              <c:f>Tables!$AL$104:$AR$104</c:f>
              <c:strCache>
                <c:ptCount val="7"/>
                <c:pt idx="0">
                  <c:v>White, Non-Hispanic</c:v>
                </c:pt>
                <c:pt idx="1">
                  <c:v>Black, Non-Hispanic</c:v>
                </c:pt>
                <c:pt idx="2">
                  <c:v>American Indian or Alaskan Native, Non-Hispanic</c:v>
                </c:pt>
                <c:pt idx="3">
                  <c:v>Asian, Non-Hispanic</c:v>
                </c:pt>
                <c:pt idx="4">
                  <c:v>Native Hawaiian or Pacific Islander, Non-Hispanic</c:v>
                </c:pt>
                <c:pt idx="5">
                  <c:v>Two or More Races, Non-Hispanic</c:v>
                </c:pt>
                <c:pt idx="6">
                  <c:v>Hispanic, All Types</c:v>
                </c:pt>
              </c:strCache>
            </c:strRef>
          </c:cat>
          <c:val>
            <c:numRef>
              <c:f>Tables!$AL$110:$AR$110</c:f>
              <c:numCache>
                <c:formatCode>0%</c:formatCode>
                <c:ptCount val="7"/>
                <c:pt idx="0">
                  <c:v>8.69321201576881E-2</c:v>
                </c:pt>
                <c:pt idx="1">
                  <c:v>4.8259505869347567E-2</c:v>
                </c:pt>
                <c:pt idx="2">
                  <c:v>2.7789447263737752E-2</c:v>
                </c:pt>
                <c:pt idx="3">
                  <c:v>0.10008445413340339</c:v>
                </c:pt>
                <c:pt idx="4">
                  <c:v>5.2801889633650838E-2</c:v>
                </c:pt>
                <c:pt idx="5">
                  <c:v>4.7669755143090603E-2</c:v>
                </c:pt>
                <c:pt idx="6">
                  <c:v>1.6163111902673295E-2</c:v>
                </c:pt>
              </c:numCache>
            </c:numRef>
          </c:val>
          <c:extLst xmlns:c16r2="http://schemas.microsoft.com/office/drawing/2015/06/chart">
            <c:ext xmlns:c16="http://schemas.microsoft.com/office/drawing/2014/chart" uri="{C3380CC4-5D6E-409C-BE32-E72D297353CC}">
              <c16:uniqueId val="{00000005-D846-47FA-B6E3-08257DD2D503}"/>
            </c:ext>
          </c:extLst>
        </c:ser>
        <c:dLbls>
          <c:showLegendKey val="0"/>
          <c:showVal val="0"/>
          <c:showCatName val="0"/>
          <c:showSerName val="0"/>
          <c:showPercent val="0"/>
          <c:showBubbleSize val="0"/>
        </c:dLbls>
        <c:gapWidth val="150"/>
        <c:overlap val="100"/>
        <c:axId val="138576840"/>
        <c:axId val="138577232"/>
      </c:barChart>
      <c:catAx>
        <c:axId val="138576840"/>
        <c:scaling>
          <c:orientation val="minMax"/>
        </c:scaling>
        <c:delete val="0"/>
        <c:axPos val="l"/>
        <c:numFmt formatCode="@" sourceLinked="0"/>
        <c:majorTickMark val="out"/>
        <c:minorTickMark val="none"/>
        <c:tickLblPos val="nextTo"/>
        <c:txPr>
          <a:bodyPr rot="0" vert="horz" anchor="ctr" anchorCtr="0"/>
          <a:lstStyle/>
          <a:p>
            <a:pPr>
              <a:defRPr/>
            </a:pPr>
            <a:endParaRPr lang="en-US"/>
          </a:p>
        </c:txPr>
        <c:crossAx val="138577232"/>
        <c:crosses val="autoZero"/>
        <c:auto val="1"/>
        <c:lblAlgn val="ctr"/>
        <c:lblOffset val="100"/>
        <c:noMultiLvlLbl val="0"/>
      </c:catAx>
      <c:valAx>
        <c:axId val="138577232"/>
        <c:scaling>
          <c:orientation val="minMax"/>
          <c:max val="1"/>
        </c:scaling>
        <c:delete val="0"/>
        <c:axPos val="b"/>
        <c:majorGridlines/>
        <c:numFmt formatCode="0%" sourceLinked="1"/>
        <c:majorTickMark val="out"/>
        <c:minorTickMark val="none"/>
        <c:tickLblPos val="nextTo"/>
        <c:crossAx val="138576840"/>
        <c:crosses val="autoZero"/>
        <c:crossBetween val="between"/>
      </c:valAx>
    </c:plotArea>
    <c:legend>
      <c:legendPos val="b"/>
      <c:layout>
        <c:manualLayout>
          <c:xMode val="edge"/>
          <c:yMode val="edge"/>
          <c:x val="1.9366712375981768E-2"/>
          <c:y val="0.83433039620047489"/>
          <c:w val="0.96330630926672045"/>
          <c:h val="0.14186007999000125"/>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45331659393968998"/>
          <c:y val="7.9442547557661503E-2"/>
          <c:w val="0.467986803507147"/>
          <c:h val="0.82292121379564398"/>
        </c:manualLayout>
      </c:layout>
      <c:barChart>
        <c:barDir val="bar"/>
        <c:grouping val="clustered"/>
        <c:varyColors val="0"/>
        <c:ser>
          <c:idx val="0"/>
          <c:order val="0"/>
          <c:tx>
            <c:strRef>
              <c:f>Tables!$E$2</c:f>
              <c:strCache>
                <c:ptCount val="1"/>
                <c:pt idx="0">
                  <c:v>Demand</c:v>
                </c:pt>
              </c:strCache>
            </c:strRef>
          </c:tx>
          <c:invertIfNegative val="0"/>
          <c:cat>
            <c:strRef>
              <c:f>Tables!$D$3:$D$9</c:f>
              <c:strCache>
                <c:ptCount val="7"/>
                <c:pt idx="0">
                  <c:v>General Office Occupations and Clerical Services</c:v>
                </c:pt>
                <c:pt idx="1">
                  <c:v>Accounting</c:v>
                </c:pt>
                <c:pt idx="2">
                  <c:v>Child Development/Early Care and
Education</c:v>
                </c:pt>
                <c:pt idx="3">
                  <c:v>Business Administration</c:v>
                </c:pt>
                <c:pt idx="4">
                  <c:v>Office Technology/Office Computer
Applications</c:v>
                </c:pt>
                <c:pt idx="5">
                  <c:v>Agriculture Technology and Sciences, General</c:v>
                </c:pt>
                <c:pt idx="6">
                  <c:v>Accounting</c:v>
                </c:pt>
              </c:strCache>
            </c:strRef>
          </c:cat>
          <c:val>
            <c:numRef>
              <c:f>Tables!$E$3:$E$9</c:f>
              <c:numCache>
                <c:formatCode>#,##0</c:formatCode>
                <c:ptCount val="7"/>
                <c:pt idx="0">
                  <c:v>725.4697766717909</c:v>
                </c:pt>
                <c:pt idx="1">
                  <c:v>195.68603008487764</c:v>
                </c:pt>
                <c:pt idx="2">
                  <c:v>94.332773365722034</c:v>
                </c:pt>
                <c:pt idx="3">
                  <c:v>270.2382902704361</c:v>
                </c:pt>
                <c:pt idx="4">
                  <c:v>185.08864</c:v>
                </c:pt>
                <c:pt idx="5">
                  <c:v>34.778906976744189</c:v>
                </c:pt>
                <c:pt idx="6">
                  <c:v>35.730178043849975</c:v>
                </c:pt>
              </c:numCache>
            </c:numRef>
          </c:val>
          <c:extLst xmlns:c16r2="http://schemas.microsoft.com/office/drawing/2015/06/chart">
            <c:ext xmlns:c16="http://schemas.microsoft.com/office/drawing/2014/chart" uri="{C3380CC4-5D6E-409C-BE32-E72D297353CC}">
              <c16:uniqueId val="{00000000-CEE5-4546-8F6C-1F5289BD0EFA}"/>
            </c:ext>
          </c:extLst>
        </c:ser>
        <c:ser>
          <c:idx val="1"/>
          <c:order val="1"/>
          <c:tx>
            <c:strRef>
              <c:f>Tables!$F$2</c:f>
              <c:strCache>
                <c:ptCount val="1"/>
                <c:pt idx="0">
                  <c:v>Supply</c:v>
                </c:pt>
              </c:strCache>
            </c:strRef>
          </c:tx>
          <c:invertIfNegative val="0"/>
          <c:cat>
            <c:strRef>
              <c:f>Tables!$D$3:$D$9</c:f>
              <c:strCache>
                <c:ptCount val="7"/>
                <c:pt idx="0">
                  <c:v>General Office Occupations and Clerical Services</c:v>
                </c:pt>
                <c:pt idx="1">
                  <c:v>Accounting</c:v>
                </c:pt>
                <c:pt idx="2">
                  <c:v>Child Development/Early Care and
Education</c:v>
                </c:pt>
                <c:pt idx="3">
                  <c:v>Business Administration</c:v>
                </c:pt>
                <c:pt idx="4">
                  <c:v>Office Technology/Office Computer
Applications</c:v>
                </c:pt>
                <c:pt idx="5">
                  <c:v>Agriculture Technology and Sciences, General</c:v>
                </c:pt>
                <c:pt idx="6">
                  <c:v>Accounting</c:v>
                </c:pt>
              </c:strCache>
            </c:strRef>
          </c:cat>
          <c:val>
            <c:numRef>
              <c:f>Tables!$F$3:$F$9</c:f>
              <c:numCache>
                <c:formatCode>#,##0</c:formatCode>
                <c:ptCount val="7"/>
                <c:pt idx="0">
                  <c:v>80</c:v>
                </c:pt>
                <c:pt idx="1">
                  <c:v>85.833333333333314</c:v>
                </c:pt>
                <c:pt idx="2">
                  <c:v>4.333333333333333</c:v>
                </c:pt>
                <c:pt idx="3">
                  <c:v>191.33333333333331</c:v>
                </c:pt>
                <c:pt idx="4">
                  <c:v>125.33333333333333</c:v>
                </c:pt>
                <c:pt idx="5">
                  <c:v>6</c:v>
                </c:pt>
                <c:pt idx="6">
                  <c:v>9</c:v>
                </c:pt>
              </c:numCache>
            </c:numRef>
          </c:val>
          <c:extLst xmlns:c16r2="http://schemas.microsoft.com/office/drawing/2015/06/chart">
            <c:ext xmlns:c16="http://schemas.microsoft.com/office/drawing/2014/chart" uri="{C3380CC4-5D6E-409C-BE32-E72D297353CC}">
              <c16:uniqueId val="{00000001-CEE5-4546-8F6C-1F5289BD0EFA}"/>
            </c:ext>
          </c:extLst>
        </c:ser>
        <c:dLbls>
          <c:showLegendKey val="0"/>
          <c:showVal val="0"/>
          <c:showCatName val="0"/>
          <c:showSerName val="0"/>
          <c:showPercent val="0"/>
          <c:showBubbleSize val="0"/>
        </c:dLbls>
        <c:gapWidth val="75"/>
        <c:axId val="138575272"/>
        <c:axId val="138903672"/>
      </c:barChart>
      <c:barChart>
        <c:barDir val="bar"/>
        <c:grouping val="clustered"/>
        <c:varyColors val="0"/>
        <c:ser>
          <c:idx val="2"/>
          <c:order val="2"/>
          <c:tx>
            <c:strRef>
              <c:f>Tables!$H$2</c:f>
              <c:strCache>
                <c:ptCount val="1"/>
                <c:pt idx="0">
                  <c:v>Gap</c:v>
                </c:pt>
              </c:strCache>
            </c:strRef>
          </c:tx>
          <c:spPr>
            <a:solidFill>
              <a:schemeClr val="accent1"/>
            </a:solidFill>
            <a:ln>
              <a:solidFill>
                <a:schemeClr val="accent1"/>
              </a:solidFill>
            </a:ln>
          </c:spPr>
          <c:invertIfNegative val="0"/>
          <c:dLbls>
            <c:dLbl>
              <c:idx val="2"/>
              <c:layout>
                <c:manualLayout>
                  <c:x val="-4.3715846994535519E-3"/>
                  <c:y val="1.0899182561307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EE5-4546-8F6C-1F5289BD0EFA}"/>
                </c:ext>
                <c:ext xmlns:c15="http://schemas.microsoft.com/office/drawing/2012/chart" uri="{CE6537A1-D6FC-4f65-9D91-7224C49458BB}"/>
              </c:extLst>
            </c:dLbl>
            <c:dLbl>
              <c:idx val="3"/>
              <c:layout>
                <c:manualLayout>
                  <c:x val="0"/>
                  <c:y val="1.45322434150772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EE5-4546-8F6C-1F5289BD0EFA}"/>
                </c:ext>
                <c:ext xmlns:c15="http://schemas.microsoft.com/office/drawing/2012/chart" uri="{CE6537A1-D6FC-4f65-9D91-7224C49458BB}"/>
              </c:extLst>
            </c:dLbl>
            <c:dLbl>
              <c:idx val="5"/>
              <c:layout>
                <c:manualLayout>
                  <c:x val="0"/>
                  <c:y val="1.08991825613079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EE5-4546-8F6C-1F5289BD0EFA}"/>
                </c:ext>
                <c:ext xmlns:c15="http://schemas.microsoft.com/office/drawing/2012/chart" uri="{CE6537A1-D6FC-4f65-9D91-7224C49458BB}"/>
              </c:extLst>
            </c:dLbl>
            <c:dLbl>
              <c:idx val="6"/>
              <c:layout>
                <c:manualLayout>
                  <c:x val="0"/>
                  <c:y val="1.45322434150772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EE5-4546-8F6C-1F5289BD0EF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Tables!$D$3:$D$9</c:f>
              <c:strCache>
                <c:ptCount val="7"/>
                <c:pt idx="0">
                  <c:v>General Office Occupations and Clerical Services</c:v>
                </c:pt>
                <c:pt idx="1">
                  <c:v>Accounting</c:v>
                </c:pt>
                <c:pt idx="2">
                  <c:v>Child Development/Early Care and
Education</c:v>
                </c:pt>
                <c:pt idx="3">
                  <c:v>Business Administration</c:v>
                </c:pt>
                <c:pt idx="4">
                  <c:v>Office Technology/Office Computer
Applications</c:v>
                </c:pt>
                <c:pt idx="5">
                  <c:v>Agriculture Technology and Sciences, General</c:v>
                </c:pt>
                <c:pt idx="6">
                  <c:v>Accounting</c:v>
                </c:pt>
              </c:strCache>
            </c:strRef>
          </c:cat>
          <c:val>
            <c:numRef>
              <c:f>Tables!$J$3:$J$9</c:f>
              <c:numCache>
                <c:formatCode>#,##0</c:formatCode>
                <c:ptCount val="7"/>
                <c:pt idx="0">
                  <c:v>26.730178043849975</c:v>
                </c:pt>
                <c:pt idx="1">
                  <c:v>28.778906976744189</c:v>
                </c:pt>
                <c:pt idx="2">
                  <c:v>59.755306666666669</c:v>
                </c:pt>
                <c:pt idx="3">
                  <c:v>78.904956937102781</c:v>
                </c:pt>
                <c:pt idx="4">
                  <c:v>89.999440032388705</c:v>
                </c:pt>
                <c:pt idx="5">
                  <c:v>109.85269675154433</c:v>
                </c:pt>
                <c:pt idx="6">
                  <c:v>645.4697766717909</c:v>
                </c:pt>
              </c:numCache>
            </c:numRef>
          </c:val>
          <c:extLst xmlns:c16r2="http://schemas.microsoft.com/office/drawing/2015/06/chart">
            <c:ext xmlns:c16="http://schemas.microsoft.com/office/drawing/2014/chart" uri="{C3380CC4-5D6E-409C-BE32-E72D297353CC}">
              <c16:uniqueId val="{00000006-CEE5-4546-8F6C-1F5289BD0EFA}"/>
            </c:ext>
          </c:extLst>
        </c:ser>
        <c:dLbls>
          <c:showLegendKey val="0"/>
          <c:showVal val="0"/>
          <c:showCatName val="0"/>
          <c:showSerName val="0"/>
          <c:showPercent val="0"/>
          <c:showBubbleSize val="0"/>
        </c:dLbls>
        <c:gapWidth val="200"/>
        <c:overlap val="-66"/>
        <c:axId val="138904456"/>
        <c:axId val="138904064"/>
      </c:barChart>
      <c:catAx>
        <c:axId val="138575272"/>
        <c:scaling>
          <c:orientation val="maxMin"/>
        </c:scaling>
        <c:delete val="0"/>
        <c:axPos val="l"/>
        <c:numFmt formatCode="General" sourceLinked="1"/>
        <c:majorTickMark val="out"/>
        <c:minorTickMark val="none"/>
        <c:tickLblPos val="low"/>
        <c:txPr>
          <a:bodyPr rot="0" vert="horz"/>
          <a:lstStyle/>
          <a:p>
            <a:pPr>
              <a:defRPr sz="900" b="0" i="0" u="none" strike="noStrike" baseline="0">
                <a:solidFill>
                  <a:srgbClr val="000000"/>
                </a:solidFill>
                <a:latin typeface="Calibri"/>
                <a:ea typeface="Calibri"/>
                <a:cs typeface="Calibri"/>
              </a:defRPr>
            </a:pPr>
            <a:endParaRPr lang="en-US"/>
          </a:p>
        </c:txPr>
        <c:crossAx val="138903672"/>
        <c:crosses val="autoZero"/>
        <c:auto val="1"/>
        <c:lblAlgn val="ctr"/>
        <c:lblOffset val="100"/>
        <c:noMultiLvlLbl val="0"/>
      </c:catAx>
      <c:valAx>
        <c:axId val="138903672"/>
        <c:scaling>
          <c:orientation val="minMax"/>
          <c:min val="0"/>
        </c:scaling>
        <c:delete val="0"/>
        <c:axPos val="t"/>
        <c:majorGridlines/>
        <c:numFmt formatCode="#,##0" sourceLinked="1"/>
        <c:majorTickMark val="out"/>
        <c:minorTickMark val="none"/>
        <c:tickLblPos val="nextTo"/>
        <c:crossAx val="138575272"/>
        <c:crosses val="autoZero"/>
        <c:crossBetween val="between"/>
      </c:valAx>
      <c:valAx>
        <c:axId val="138904064"/>
        <c:scaling>
          <c:orientation val="minMax"/>
          <c:max val="10000"/>
        </c:scaling>
        <c:delete val="1"/>
        <c:axPos val="b"/>
        <c:numFmt formatCode="#,##0" sourceLinked="1"/>
        <c:majorTickMark val="out"/>
        <c:minorTickMark val="none"/>
        <c:tickLblPos val="nextTo"/>
        <c:crossAx val="138904456"/>
        <c:crosses val="autoZero"/>
        <c:crossBetween val="between"/>
      </c:valAx>
      <c:catAx>
        <c:axId val="138904456"/>
        <c:scaling>
          <c:orientation val="minMax"/>
        </c:scaling>
        <c:delete val="1"/>
        <c:axPos val="l"/>
        <c:numFmt formatCode="General" sourceLinked="1"/>
        <c:majorTickMark val="out"/>
        <c:minorTickMark val="none"/>
        <c:tickLblPos val="nextTo"/>
        <c:crossAx val="138904064"/>
        <c:crosses val="autoZero"/>
        <c:auto val="1"/>
        <c:lblAlgn val="ctr"/>
        <c:lblOffset val="100"/>
        <c:noMultiLvlLbl val="0"/>
      </c:catAx>
    </c:plotArea>
    <c:legend>
      <c:legendPos val="r"/>
      <c:layout>
        <c:manualLayout>
          <c:xMode val="edge"/>
          <c:yMode val="edge"/>
          <c:x val="0.14456465387647"/>
          <c:y val="0.91149943976301195"/>
          <c:w val="0.28370119369753699"/>
          <c:h val="8.8500456779919107E-2"/>
        </c:manualLayout>
      </c:layout>
      <c:overlay val="0"/>
      <c:txPr>
        <a:bodyPr/>
        <a:lstStyle/>
        <a:p>
          <a:pPr>
            <a:defRPr sz="825" b="0" i="0" u="none" strike="noStrike" baseline="0">
              <a:solidFill>
                <a:srgbClr val="000000"/>
              </a:solidFill>
              <a:latin typeface="Calibri"/>
              <a:ea typeface="Calibri"/>
              <a:cs typeface="Calibri"/>
            </a:defRPr>
          </a:pPr>
          <a:endParaRPr lang="en-US"/>
        </a:p>
      </c:txPr>
    </c:legend>
    <c:plotVisOnly val="1"/>
    <c:dispBlanksAs val="gap"/>
    <c:showDLblsOverMax val="0"/>
  </c:chart>
  <c:spPr>
    <a:ln>
      <a:solidFill>
        <a:schemeClr val="tx1"/>
      </a:solidFill>
    </a:ln>
  </c:spPr>
  <c:txPr>
    <a:bodyPr/>
    <a:lstStyle/>
    <a:p>
      <a:pPr>
        <a:defRPr sz="9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45331659393968998"/>
          <c:y val="7.9442547557661503E-2"/>
          <c:w val="0.467986803507147"/>
          <c:h val="0.82292121379564398"/>
        </c:manualLayout>
      </c:layout>
      <c:barChart>
        <c:barDir val="bar"/>
        <c:grouping val="clustered"/>
        <c:varyColors val="0"/>
        <c:ser>
          <c:idx val="0"/>
          <c:order val="0"/>
          <c:tx>
            <c:strRef>
              <c:f>Tables!$M$2</c:f>
              <c:strCache>
                <c:ptCount val="1"/>
                <c:pt idx="0">
                  <c:v>Program</c:v>
                </c:pt>
              </c:strCache>
            </c:strRef>
          </c:tx>
          <c:invertIfNegative val="0"/>
          <c:cat>
            <c:strRef>
              <c:f>Tables!$O$44:$O$48</c:f>
              <c:strCache>
                <c:ptCount val="5"/>
                <c:pt idx="0">
                  <c:v>General Office Occupations and Clerical Services</c:v>
                </c:pt>
                <c:pt idx="1">
                  <c:v>Child Development</c:v>
                </c:pt>
                <c:pt idx="2">
                  <c:v>Early Care and Education</c:v>
                </c:pt>
                <c:pt idx="3">
                  <c:v>Agriculture Technology and Sciences, General</c:v>
                </c:pt>
                <c:pt idx="4">
                  <c:v>Accounting</c:v>
                </c:pt>
              </c:strCache>
            </c:strRef>
          </c:cat>
          <c:val>
            <c:numRef>
              <c:f>Tables!$P$3:$P$7</c:f>
              <c:numCache>
                <c:formatCode>#,##0</c:formatCode>
                <c:ptCount val="5"/>
                <c:pt idx="0">
                  <c:v>761.14325354506605</c:v>
                </c:pt>
                <c:pt idx="1">
                  <c:v>107.30165682617012</c:v>
                </c:pt>
                <c:pt idx="2">
                  <c:v>35.471655292565771</c:v>
                </c:pt>
                <c:pt idx="3">
                  <c:v>32.774781395348839</c:v>
                </c:pt>
                <c:pt idx="4">
                  <c:v>39.310836221088678</c:v>
                </c:pt>
              </c:numCache>
            </c:numRef>
          </c:val>
          <c:extLst xmlns:c16r2="http://schemas.microsoft.com/office/drawing/2015/06/chart">
            <c:ext xmlns:c16="http://schemas.microsoft.com/office/drawing/2014/chart" uri="{C3380CC4-5D6E-409C-BE32-E72D297353CC}">
              <c16:uniqueId val="{00000000-60EF-41AA-9D81-80531D9A19DA}"/>
            </c:ext>
          </c:extLst>
        </c:ser>
        <c:ser>
          <c:idx val="1"/>
          <c:order val="1"/>
          <c:tx>
            <c:strRef>
              <c:f>Tables!$Q$2</c:f>
              <c:strCache>
                <c:ptCount val="1"/>
                <c:pt idx="0">
                  <c:v>Supply</c:v>
                </c:pt>
              </c:strCache>
            </c:strRef>
          </c:tx>
          <c:invertIfNegative val="0"/>
          <c:cat>
            <c:strRef>
              <c:f>Tables!$O$44:$O$48</c:f>
              <c:strCache>
                <c:ptCount val="5"/>
                <c:pt idx="0">
                  <c:v>General Office Occupations and Clerical Services</c:v>
                </c:pt>
                <c:pt idx="1">
                  <c:v>Child Development</c:v>
                </c:pt>
                <c:pt idx="2">
                  <c:v>Early Care and Education</c:v>
                </c:pt>
                <c:pt idx="3">
                  <c:v>Agriculture Technology and Sciences, General</c:v>
                </c:pt>
                <c:pt idx="4">
                  <c:v>Accounting</c:v>
                </c:pt>
              </c:strCache>
            </c:strRef>
          </c:cat>
          <c:val>
            <c:numRef>
              <c:f>Tables!$Q$3:$Q$7</c:f>
              <c:numCache>
                <c:formatCode>#,##0</c:formatCode>
                <c:ptCount val="5"/>
                <c:pt idx="0">
                  <c:v>91.666666666666671</c:v>
                </c:pt>
                <c:pt idx="1">
                  <c:v>35</c:v>
                </c:pt>
                <c:pt idx="2">
                  <c:v>3</c:v>
                </c:pt>
                <c:pt idx="3">
                  <c:v>1.3333333333333333</c:v>
                </c:pt>
                <c:pt idx="4">
                  <c:v>12</c:v>
                </c:pt>
              </c:numCache>
            </c:numRef>
          </c:val>
          <c:extLst xmlns:c16r2="http://schemas.microsoft.com/office/drawing/2015/06/chart">
            <c:ext xmlns:c16="http://schemas.microsoft.com/office/drawing/2014/chart" uri="{C3380CC4-5D6E-409C-BE32-E72D297353CC}">
              <c16:uniqueId val="{00000001-60EF-41AA-9D81-80531D9A19DA}"/>
            </c:ext>
          </c:extLst>
        </c:ser>
        <c:dLbls>
          <c:showLegendKey val="0"/>
          <c:showVal val="0"/>
          <c:showCatName val="0"/>
          <c:showSerName val="0"/>
          <c:showPercent val="0"/>
          <c:showBubbleSize val="0"/>
        </c:dLbls>
        <c:gapWidth val="75"/>
        <c:axId val="138905240"/>
        <c:axId val="138905632"/>
      </c:barChart>
      <c:barChart>
        <c:barDir val="bar"/>
        <c:grouping val="clustered"/>
        <c:varyColors val="0"/>
        <c:ser>
          <c:idx val="2"/>
          <c:order val="2"/>
          <c:tx>
            <c:strRef>
              <c:f>Tables!$S$2</c:f>
              <c:strCache>
                <c:ptCount val="1"/>
                <c:pt idx="0">
                  <c:v>Gap</c:v>
                </c:pt>
              </c:strCache>
            </c:strRef>
          </c:tx>
          <c:spPr>
            <a:solidFill>
              <a:schemeClr val="accent1"/>
            </a:solidFill>
            <a:ln>
              <a:solidFill>
                <a:schemeClr val="accent1"/>
              </a:solidFill>
            </a:ln>
          </c:spPr>
          <c:invertIfNegative val="0"/>
          <c:dLbls>
            <c:dLbl>
              <c:idx val="3"/>
              <c:layout>
                <c:manualLayout>
                  <c:x val="0"/>
                  <c:y val="2.17391304347826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0EF-41AA-9D81-80531D9A19DA}"/>
                </c:ext>
                <c:ext xmlns:c15="http://schemas.microsoft.com/office/drawing/2012/chart" uri="{CE6537A1-D6FC-4f65-9D91-7224C49458BB}"/>
              </c:extLst>
            </c:dLbl>
            <c:dLbl>
              <c:idx val="4"/>
              <c:layout>
                <c:manualLayout>
                  <c:x val="0"/>
                  <c:y val="2.17391304347826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0EF-41AA-9D81-80531D9A19D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Tables!$O$44:$O$48</c:f>
              <c:strCache>
                <c:ptCount val="5"/>
                <c:pt idx="0">
                  <c:v>General Office Occupations and Clerical Services</c:v>
                </c:pt>
                <c:pt idx="1">
                  <c:v>Child Development</c:v>
                </c:pt>
                <c:pt idx="2">
                  <c:v>Early Care and Education</c:v>
                </c:pt>
                <c:pt idx="3">
                  <c:v>Agriculture Technology and Sciences, General</c:v>
                </c:pt>
                <c:pt idx="4">
                  <c:v>Accounting</c:v>
                </c:pt>
              </c:strCache>
            </c:strRef>
          </c:cat>
          <c:val>
            <c:numRef>
              <c:f>Tables!$U$3:$U$7</c:f>
              <c:numCache>
                <c:formatCode>#,##0_);[Red]\(#,##0\)</c:formatCode>
                <c:ptCount val="5"/>
                <c:pt idx="0">
                  <c:v>27.310836221088678</c:v>
                </c:pt>
                <c:pt idx="1">
                  <c:v>31.441448062015507</c:v>
                </c:pt>
                <c:pt idx="2">
                  <c:v>32.471655292565771</c:v>
                </c:pt>
                <c:pt idx="3">
                  <c:v>72.301656826170117</c:v>
                </c:pt>
                <c:pt idx="4">
                  <c:v>669.47658687839942</c:v>
                </c:pt>
              </c:numCache>
            </c:numRef>
          </c:val>
          <c:extLst xmlns:c16r2="http://schemas.microsoft.com/office/drawing/2015/06/chart">
            <c:ext xmlns:c16="http://schemas.microsoft.com/office/drawing/2014/chart" uri="{C3380CC4-5D6E-409C-BE32-E72D297353CC}">
              <c16:uniqueId val="{00000004-60EF-41AA-9D81-80531D9A19DA}"/>
            </c:ext>
          </c:extLst>
        </c:ser>
        <c:dLbls>
          <c:showLegendKey val="0"/>
          <c:showVal val="0"/>
          <c:showCatName val="0"/>
          <c:showSerName val="0"/>
          <c:showPercent val="0"/>
          <c:showBubbleSize val="0"/>
        </c:dLbls>
        <c:gapWidth val="200"/>
        <c:overlap val="-66"/>
        <c:axId val="138906416"/>
        <c:axId val="138906024"/>
      </c:barChart>
      <c:catAx>
        <c:axId val="138905240"/>
        <c:scaling>
          <c:orientation val="maxMin"/>
        </c:scaling>
        <c:delete val="0"/>
        <c:axPos val="l"/>
        <c:numFmt formatCode="General" sourceLinked="1"/>
        <c:majorTickMark val="out"/>
        <c:minorTickMark val="none"/>
        <c:tickLblPos val="low"/>
        <c:txPr>
          <a:bodyPr rot="0" vert="horz"/>
          <a:lstStyle/>
          <a:p>
            <a:pPr>
              <a:defRPr sz="900" b="0" i="0" u="none" strike="noStrike" baseline="0">
                <a:solidFill>
                  <a:srgbClr val="000000"/>
                </a:solidFill>
                <a:latin typeface="Calibri"/>
                <a:ea typeface="Calibri"/>
                <a:cs typeface="Calibri"/>
              </a:defRPr>
            </a:pPr>
            <a:endParaRPr lang="en-US"/>
          </a:p>
        </c:txPr>
        <c:crossAx val="138905632"/>
        <c:crosses val="autoZero"/>
        <c:auto val="1"/>
        <c:lblAlgn val="ctr"/>
        <c:lblOffset val="100"/>
        <c:noMultiLvlLbl val="0"/>
      </c:catAx>
      <c:valAx>
        <c:axId val="138905632"/>
        <c:scaling>
          <c:orientation val="minMax"/>
          <c:min val="0"/>
        </c:scaling>
        <c:delete val="0"/>
        <c:axPos val="t"/>
        <c:majorGridlines/>
        <c:numFmt formatCode="#,##0" sourceLinked="1"/>
        <c:majorTickMark val="out"/>
        <c:minorTickMark val="none"/>
        <c:tickLblPos val="nextTo"/>
        <c:crossAx val="138905240"/>
        <c:crosses val="autoZero"/>
        <c:crossBetween val="between"/>
      </c:valAx>
      <c:valAx>
        <c:axId val="138906024"/>
        <c:scaling>
          <c:orientation val="minMax"/>
          <c:max val="10000"/>
        </c:scaling>
        <c:delete val="1"/>
        <c:axPos val="b"/>
        <c:numFmt formatCode="#,##0_);[Red]\(#,##0\)" sourceLinked="1"/>
        <c:majorTickMark val="out"/>
        <c:minorTickMark val="none"/>
        <c:tickLblPos val="nextTo"/>
        <c:crossAx val="138906416"/>
        <c:crosses val="autoZero"/>
        <c:crossBetween val="between"/>
      </c:valAx>
      <c:catAx>
        <c:axId val="138906416"/>
        <c:scaling>
          <c:orientation val="minMax"/>
        </c:scaling>
        <c:delete val="1"/>
        <c:axPos val="l"/>
        <c:numFmt formatCode="General" sourceLinked="1"/>
        <c:majorTickMark val="out"/>
        <c:minorTickMark val="none"/>
        <c:tickLblPos val="nextTo"/>
        <c:crossAx val="138906024"/>
        <c:crosses val="autoZero"/>
        <c:auto val="1"/>
        <c:lblAlgn val="ctr"/>
        <c:lblOffset val="100"/>
        <c:noMultiLvlLbl val="0"/>
      </c:catAx>
    </c:plotArea>
    <c:legend>
      <c:legendPos val="r"/>
      <c:layout>
        <c:manualLayout>
          <c:xMode val="edge"/>
          <c:yMode val="edge"/>
          <c:x val="0.14456465387647"/>
          <c:y val="0.91149943976301195"/>
          <c:w val="0.28370119369753699"/>
          <c:h val="8.8500456779919107E-2"/>
        </c:manualLayout>
      </c:layout>
      <c:overlay val="0"/>
      <c:txPr>
        <a:bodyPr/>
        <a:lstStyle/>
        <a:p>
          <a:pPr>
            <a:defRPr sz="825" b="0" i="0" u="none" strike="noStrike" baseline="0">
              <a:solidFill>
                <a:srgbClr val="000000"/>
              </a:solidFill>
              <a:latin typeface="Calibri"/>
              <a:ea typeface="Calibri"/>
              <a:cs typeface="Calibri"/>
            </a:defRPr>
          </a:pPr>
          <a:endParaRPr lang="en-US"/>
        </a:p>
      </c:txPr>
    </c:legend>
    <c:plotVisOnly val="1"/>
    <c:dispBlanksAs val="gap"/>
    <c:showDLblsOverMax val="0"/>
  </c:chart>
  <c:spPr>
    <a:ln>
      <a:solidFill>
        <a:schemeClr val="tx1"/>
      </a:solidFill>
    </a:ln>
  </c:spPr>
  <c:txPr>
    <a:bodyPr/>
    <a:lstStyle/>
    <a:p>
      <a:pPr>
        <a:defRPr sz="9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C9A3-68E2-4033-BCB5-16337A5D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16217</Words>
  <Characters>92443</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dc:creator>
  <cp:lastModifiedBy>Margee Loya</cp:lastModifiedBy>
  <cp:revision>2</cp:revision>
  <cp:lastPrinted>2015-03-20T15:34:00Z</cp:lastPrinted>
  <dcterms:created xsi:type="dcterms:W3CDTF">2018-03-28T23:30:00Z</dcterms:created>
  <dcterms:modified xsi:type="dcterms:W3CDTF">2018-03-28T23:30:00Z</dcterms:modified>
</cp:coreProperties>
</file>